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0B" w:rsidRDefault="00AD5EE3" w:rsidP="00EA3CCE">
      <w:pPr>
        <w:spacing w:line="291" w:lineRule="exact"/>
        <w:jc w:val="center"/>
        <w:rPr>
          <w:rFonts w:ascii="Arial" w:hAnsi="Arial" w:cs="Arial"/>
          <w:b/>
          <w:spacing w:val="-1"/>
          <w:sz w:val="24"/>
          <w:u w:val="single"/>
          <w:lang w:val="fr-CA"/>
        </w:rPr>
      </w:pPr>
      <w:bookmarkStart w:id="0" w:name="lt_pId000"/>
      <w:r w:rsidRPr="00EA3CCE">
        <w:rPr>
          <w:rFonts w:ascii="Arial" w:hAnsi="Arial" w:cs="Arial"/>
          <w:b/>
          <w:spacing w:val="-1"/>
          <w:sz w:val="24"/>
          <w:u w:val="single"/>
          <w:lang w:val="fr-CA"/>
        </w:rPr>
        <w:t>PROC</w:t>
      </w:r>
      <w:r w:rsidR="00481AED" w:rsidRPr="00EA3CCE">
        <w:rPr>
          <w:rFonts w:ascii="Arial" w:hAnsi="Arial" w:cs="Arial"/>
          <w:b/>
          <w:spacing w:val="-1"/>
          <w:sz w:val="24"/>
          <w:u w:val="single"/>
          <w:lang w:val="fr-CA"/>
        </w:rPr>
        <w:t>É</w:t>
      </w:r>
      <w:r w:rsidRPr="00EA3CCE">
        <w:rPr>
          <w:rFonts w:ascii="Arial" w:hAnsi="Arial" w:cs="Arial"/>
          <w:b/>
          <w:spacing w:val="-1"/>
          <w:sz w:val="24"/>
          <w:u w:val="single"/>
          <w:lang w:val="fr-CA"/>
        </w:rPr>
        <w:t>DURES</w:t>
      </w:r>
      <w:bookmarkEnd w:id="0"/>
    </w:p>
    <w:p w:rsidR="00EA3CCE" w:rsidRPr="00EA3CCE" w:rsidRDefault="00EA3CCE" w:rsidP="00EA3CCE">
      <w:pPr>
        <w:spacing w:line="291" w:lineRule="exact"/>
        <w:jc w:val="center"/>
        <w:rPr>
          <w:rFonts w:ascii="Arial" w:hAnsi="Arial" w:cs="Arial"/>
          <w:b/>
          <w:spacing w:val="-1"/>
          <w:sz w:val="24"/>
          <w:lang w:val="fr-CA"/>
        </w:rPr>
      </w:pPr>
      <w:r w:rsidRPr="00EA3CCE">
        <w:rPr>
          <w:rFonts w:ascii="Arial" w:hAnsi="Arial" w:cs="Arial"/>
          <w:b/>
          <w:spacing w:val="-1"/>
          <w:sz w:val="24"/>
          <w:lang w:val="fr-CA"/>
        </w:rPr>
        <w:t xml:space="preserve">CONGÉ </w:t>
      </w:r>
      <w:r w:rsidR="00F81E87">
        <w:rPr>
          <w:rFonts w:ascii="Arial" w:hAnsi="Arial" w:cs="Arial"/>
          <w:b/>
          <w:spacing w:val="-1"/>
          <w:sz w:val="24"/>
          <w:lang w:val="fr-CA"/>
        </w:rPr>
        <w:t>AVEC</w:t>
      </w:r>
      <w:bookmarkStart w:id="1" w:name="_GoBack"/>
      <w:bookmarkEnd w:id="1"/>
      <w:r w:rsidRPr="00EA3CCE">
        <w:rPr>
          <w:rFonts w:ascii="Arial" w:hAnsi="Arial" w:cs="Arial"/>
          <w:b/>
          <w:spacing w:val="-1"/>
          <w:sz w:val="24"/>
          <w:lang w:val="fr-CA"/>
        </w:rPr>
        <w:t xml:space="preserve"> SOLDE POUR AFFAIRE SYNDICALE</w:t>
      </w:r>
    </w:p>
    <w:p w:rsidR="0009270B" w:rsidRPr="00C34AD7" w:rsidRDefault="00F81E87" w:rsidP="0009270B">
      <w:pPr>
        <w:spacing w:line="291" w:lineRule="exact"/>
        <w:rPr>
          <w:rFonts w:ascii="Arial" w:eastAsia="Verdana" w:hAnsi="Arial" w:cs="Arial"/>
          <w:sz w:val="24"/>
          <w:szCs w:val="24"/>
          <w:lang w:val="fr-CA"/>
        </w:rPr>
      </w:pPr>
    </w:p>
    <w:p w:rsidR="0009270B" w:rsidRPr="0016606E" w:rsidRDefault="00AD5EE3" w:rsidP="0009270B">
      <w:pPr>
        <w:spacing w:line="291" w:lineRule="exact"/>
        <w:rPr>
          <w:rFonts w:ascii="Arial" w:eastAsia="Verdana" w:hAnsi="Arial" w:cs="Arial"/>
          <w:lang w:val="fr-CA"/>
        </w:rPr>
      </w:pPr>
      <w:bookmarkStart w:id="2" w:name="lt_pId001"/>
      <w:r w:rsidRPr="00C34AD7">
        <w:rPr>
          <w:rFonts w:ascii="Arial" w:hAnsi="Arial" w:cs="Arial"/>
          <w:spacing w:val="-1"/>
          <w:lang w:val="fr-CA"/>
        </w:rPr>
        <w:t>Les étapes détaillées ci-dessous doivent être suivies lors de la demande et de la soumission d’un congé payé pour activités syndicales conformément aux clauses</w:t>
      </w:r>
      <w:r w:rsidR="00CA3556" w:rsidRPr="00C34AD7">
        <w:rPr>
          <w:rFonts w:ascii="Arial" w:hAnsi="Arial" w:cs="Arial"/>
          <w:spacing w:val="-1"/>
          <w:lang w:val="fr-CA"/>
        </w:rPr>
        <w:t> </w:t>
      </w:r>
      <w:r w:rsidRPr="00C34AD7">
        <w:rPr>
          <w:rFonts w:ascii="Arial" w:hAnsi="Arial" w:cs="Arial"/>
          <w:spacing w:val="-1"/>
          <w:lang w:val="fr-CA"/>
        </w:rPr>
        <w:t>14.02, 14.09, 14.10, 14.12 et 14.13 des conventions collectives des groupes PA, EB, TC et SV.</w:t>
      </w:r>
      <w:bookmarkEnd w:id="2"/>
    </w:p>
    <w:p w:rsidR="0009270B" w:rsidRPr="00C34AD7" w:rsidRDefault="00F81E87" w:rsidP="0009270B">
      <w:pPr>
        <w:rPr>
          <w:rFonts w:ascii="Arial" w:eastAsia="Verdana" w:hAnsi="Arial" w:cs="Arial"/>
          <w:sz w:val="20"/>
          <w:szCs w:val="20"/>
          <w:lang w:val="fr-CA"/>
        </w:rPr>
      </w:pPr>
    </w:p>
    <w:p w:rsidR="0009270B" w:rsidRPr="00C34AD7" w:rsidRDefault="00F81E87" w:rsidP="0009270B">
      <w:pPr>
        <w:spacing w:before="7"/>
        <w:rPr>
          <w:rFonts w:ascii="Arial" w:eastAsia="Times New Roman" w:hAnsi="Arial" w:cs="Arial"/>
          <w:sz w:val="5"/>
          <w:szCs w:val="5"/>
          <w:lang w:val="fr-C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1843"/>
        <w:gridCol w:w="6520"/>
      </w:tblGrid>
      <w:tr w:rsidR="00DC5403" w:rsidRPr="00D547A3" w:rsidTr="00EA3CCE">
        <w:trPr>
          <w:trHeight w:hRule="exact" w:val="656"/>
        </w:trPr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09270B" w:rsidRPr="00C34AD7" w:rsidRDefault="00AD5EE3" w:rsidP="00F96DAB">
            <w:pPr>
              <w:pStyle w:val="TableParagraph"/>
              <w:spacing w:before="60" w:after="60" w:line="247" w:lineRule="exact"/>
              <w:ind w:right="1"/>
              <w:jc w:val="center"/>
              <w:rPr>
                <w:rFonts w:ascii="Arial" w:eastAsia="Arial" w:hAnsi="Arial" w:cs="Arial"/>
                <w:lang w:val="fr-CA"/>
              </w:rPr>
            </w:pPr>
            <w:bookmarkStart w:id="3" w:name="lt_pId002"/>
            <w:r w:rsidRPr="00C34AD7">
              <w:rPr>
                <w:rFonts w:ascii="Arial" w:hAnsi="Arial" w:cs="Arial"/>
                <w:b/>
                <w:spacing w:val="-1"/>
                <w:lang w:val="fr-CA"/>
              </w:rPr>
              <w:t>Étapes</w:t>
            </w:r>
            <w:bookmarkEnd w:id="3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09270B" w:rsidRPr="00C34AD7" w:rsidRDefault="00AD5EE3" w:rsidP="00F96DAB">
            <w:pPr>
              <w:pStyle w:val="TableParagraph"/>
              <w:spacing w:before="60" w:after="60" w:line="247" w:lineRule="exact"/>
              <w:ind w:left="198"/>
              <w:rPr>
                <w:rFonts w:ascii="Arial" w:eastAsia="Arial" w:hAnsi="Arial" w:cs="Arial"/>
                <w:lang w:val="fr-CA"/>
              </w:rPr>
            </w:pPr>
            <w:bookmarkStart w:id="4" w:name="lt_pId003"/>
            <w:r w:rsidRPr="00C34AD7">
              <w:rPr>
                <w:rFonts w:ascii="Arial" w:hAnsi="Arial" w:cs="Arial"/>
                <w:b/>
                <w:spacing w:val="-1"/>
                <w:lang w:val="fr-CA"/>
              </w:rPr>
              <w:t>Menée par</w:t>
            </w:r>
            <w:bookmarkEnd w:id="4"/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09270B" w:rsidRPr="0016606E" w:rsidRDefault="00F81E87" w:rsidP="00F96DAB">
            <w:pPr>
              <w:pStyle w:val="TableParagraph"/>
              <w:spacing w:before="60" w:after="60" w:line="241" w:lineRule="auto"/>
              <w:ind w:left="2197" w:right="162" w:hanging="2036"/>
              <w:rPr>
                <w:rFonts w:ascii="Arial" w:eastAsia="Arial" w:hAnsi="Arial" w:cs="Arial"/>
                <w:lang w:val="fr-CA"/>
              </w:rPr>
            </w:pPr>
          </w:p>
        </w:tc>
      </w:tr>
      <w:tr w:rsidR="00DC5403" w:rsidRPr="00F81E87" w:rsidTr="00EA3CCE">
        <w:trPr>
          <w:trHeight w:hRule="exact" w:val="2845"/>
        </w:trPr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70B" w:rsidRPr="00C34AD7" w:rsidRDefault="00AD5EE3" w:rsidP="00F96DAB">
            <w:pPr>
              <w:pStyle w:val="TableParagraph"/>
              <w:numPr>
                <w:ilvl w:val="0"/>
                <w:numId w:val="5"/>
              </w:numPr>
              <w:spacing w:before="57"/>
              <w:rPr>
                <w:rFonts w:ascii="Arial" w:eastAsia="Arial" w:hAnsi="Arial" w:cs="Arial"/>
                <w:lang w:val="fr-CA"/>
              </w:rPr>
            </w:pPr>
            <w:bookmarkStart w:id="5" w:name="lt_pId005"/>
            <w:r w:rsidRPr="00C34AD7">
              <w:rPr>
                <w:rFonts w:ascii="Arial" w:hAnsi="Arial" w:cs="Arial"/>
                <w:spacing w:val="-1"/>
                <w:lang w:val="fr-CA"/>
              </w:rPr>
              <w:t>Autoriser la participation à l’activité syndicale</w:t>
            </w:r>
            <w:bookmarkEnd w:id="5"/>
            <w:r w:rsidRPr="0016606E">
              <w:rPr>
                <w:rFonts w:ascii="Arial" w:hAnsi="Arial" w:cs="Arial"/>
                <w:spacing w:val="-1"/>
                <w:lang w:val="fr-CA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70B" w:rsidRPr="00C34AD7" w:rsidRDefault="002B45D2" w:rsidP="00F96DAB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lang w:val="fr-CA"/>
              </w:rPr>
            </w:pPr>
            <w:r w:rsidRPr="00C34AD7">
              <w:rPr>
                <w:rFonts w:ascii="Arial" w:hAnsi="Arial" w:cs="Arial"/>
                <w:spacing w:val="-1"/>
                <w:lang w:val="fr-CA"/>
              </w:rPr>
              <w:t>Le Bureau national de l’Alliance ou de l’Élément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70B" w:rsidRPr="00C34AD7" w:rsidRDefault="002B45D2" w:rsidP="00F96DAB">
            <w:pPr>
              <w:pStyle w:val="TableParagraph"/>
              <w:numPr>
                <w:ilvl w:val="1"/>
                <w:numId w:val="4"/>
              </w:numPr>
              <w:spacing w:before="59"/>
              <w:ind w:hanging="813"/>
              <w:rPr>
                <w:rFonts w:ascii="Arial" w:eastAsia="Arial" w:hAnsi="Arial" w:cs="Arial"/>
                <w:lang w:val="fr-CA"/>
              </w:rPr>
            </w:pPr>
            <w:r w:rsidRPr="00C34AD7">
              <w:rPr>
                <w:rFonts w:ascii="Arial" w:hAnsi="Arial" w:cs="Arial"/>
                <w:lang w:val="fr-CA"/>
              </w:rPr>
              <w:t xml:space="preserve">Fournir une lettre d’autorisation syndicale </w:t>
            </w:r>
            <w:r w:rsidR="00D91427" w:rsidRPr="00C34AD7">
              <w:rPr>
                <w:rFonts w:ascii="Arial" w:hAnsi="Arial" w:cs="Arial"/>
                <w:lang w:val="fr-CA"/>
              </w:rPr>
              <w:t>approuvé</w:t>
            </w:r>
            <w:r w:rsidR="00821940" w:rsidRPr="00C34AD7">
              <w:rPr>
                <w:rFonts w:ascii="Arial" w:hAnsi="Arial" w:cs="Arial"/>
                <w:lang w:val="fr-CA"/>
              </w:rPr>
              <w:t>e</w:t>
            </w:r>
            <w:r w:rsidRPr="00C34AD7">
              <w:rPr>
                <w:rFonts w:ascii="Arial" w:hAnsi="Arial" w:cs="Arial"/>
                <w:lang w:val="fr-CA"/>
              </w:rPr>
              <w:t xml:space="preserve"> (électronique) au membre autorisant sa participation à une activité syndicale pour laquelle un congé payé doit être demandé en vertu des paragraphes</w:t>
            </w:r>
            <w:r w:rsidR="00CA3556" w:rsidRPr="00C34AD7">
              <w:rPr>
                <w:rFonts w:ascii="Arial" w:hAnsi="Arial" w:cs="Arial"/>
                <w:lang w:val="fr-CA"/>
              </w:rPr>
              <w:t> </w:t>
            </w:r>
            <w:r w:rsidRPr="00C34AD7">
              <w:rPr>
                <w:rFonts w:ascii="Arial" w:hAnsi="Arial" w:cs="Arial"/>
                <w:lang w:val="fr-CA"/>
              </w:rPr>
              <w:t xml:space="preserve">14.02, 14.09, </w:t>
            </w:r>
            <w:r w:rsidR="0080164A">
              <w:rPr>
                <w:rFonts w:ascii="Arial" w:hAnsi="Arial" w:cs="Arial"/>
                <w:lang w:val="fr-CA"/>
              </w:rPr>
              <w:t xml:space="preserve">14.10, </w:t>
            </w:r>
            <w:r w:rsidRPr="00C34AD7">
              <w:rPr>
                <w:rFonts w:ascii="Arial" w:hAnsi="Arial" w:cs="Arial"/>
                <w:lang w:val="fr-CA"/>
              </w:rPr>
              <w:t>14.12 ou 14.13.</w:t>
            </w:r>
          </w:p>
          <w:p w:rsidR="0009270B" w:rsidRPr="00C34AD7" w:rsidRDefault="002B45D2" w:rsidP="00D91427">
            <w:pPr>
              <w:pStyle w:val="TableParagraph"/>
              <w:numPr>
                <w:ilvl w:val="1"/>
                <w:numId w:val="4"/>
              </w:numPr>
              <w:spacing w:before="59" w:after="240"/>
              <w:ind w:hanging="813"/>
              <w:rPr>
                <w:rFonts w:ascii="Arial" w:eastAsia="Arial" w:hAnsi="Arial" w:cs="Arial"/>
                <w:lang w:val="fr-CA"/>
              </w:rPr>
            </w:pPr>
            <w:bookmarkStart w:id="6" w:name="lt_pId009"/>
            <w:r w:rsidRPr="00C34AD7">
              <w:rPr>
                <w:rFonts w:ascii="Arial" w:hAnsi="Arial" w:cs="Arial"/>
                <w:lang w:val="fr-CA"/>
              </w:rPr>
              <w:t xml:space="preserve">La lettre d’autorisation syndicale doit contenir les coordonnées complètes et l’information de facturation, soit le Bureau national </w:t>
            </w:r>
            <w:r w:rsidR="00D91427" w:rsidRPr="00C34AD7">
              <w:rPr>
                <w:rFonts w:ascii="Arial" w:hAnsi="Arial" w:cs="Arial"/>
                <w:lang w:val="fr-CA"/>
              </w:rPr>
              <w:t>ou</w:t>
            </w:r>
            <w:r w:rsidRPr="00C34AD7">
              <w:rPr>
                <w:rFonts w:ascii="Arial" w:hAnsi="Arial" w:cs="Arial"/>
                <w:lang w:val="fr-CA"/>
              </w:rPr>
              <w:t xml:space="preserve"> un Élément de l’Alliance. </w:t>
            </w:r>
            <w:r w:rsidR="00AD5EE3" w:rsidRPr="00C34AD7">
              <w:rPr>
                <w:rFonts w:ascii="Arial" w:hAnsi="Arial" w:cs="Arial"/>
                <w:lang w:val="fr-CA"/>
              </w:rPr>
              <w:t>Il indiquera également un code d’identification du syndicat aux fins de la facturation.</w:t>
            </w:r>
            <w:bookmarkEnd w:id="6"/>
            <w:r w:rsidR="00AD5EE3" w:rsidRPr="0016606E">
              <w:rPr>
                <w:rFonts w:ascii="Arial" w:hAnsi="Arial" w:cs="Arial"/>
                <w:lang w:val="fr-CA"/>
              </w:rPr>
              <w:t xml:space="preserve"> </w:t>
            </w:r>
          </w:p>
        </w:tc>
      </w:tr>
      <w:tr w:rsidR="00DC5403" w:rsidRPr="00F81E87" w:rsidTr="00EA3CCE">
        <w:trPr>
          <w:trHeight w:hRule="exact" w:val="2846"/>
        </w:trPr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70B" w:rsidRPr="00C34AD7" w:rsidRDefault="00AD5EE3" w:rsidP="00F96DAB">
            <w:pPr>
              <w:pStyle w:val="TableParagraph"/>
              <w:numPr>
                <w:ilvl w:val="0"/>
                <w:numId w:val="4"/>
              </w:numPr>
              <w:spacing w:before="57"/>
              <w:rPr>
                <w:rFonts w:ascii="Arial" w:hAnsi="Arial" w:cs="Arial"/>
                <w:spacing w:val="-1"/>
                <w:lang w:val="fr-CA"/>
              </w:rPr>
            </w:pPr>
            <w:bookmarkStart w:id="7" w:name="lt_pId010"/>
            <w:r w:rsidRPr="00C34AD7">
              <w:rPr>
                <w:rFonts w:ascii="Arial" w:hAnsi="Arial" w:cs="Arial"/>
                <w:spacing w:val="-1"/>
                <w:lang w:val="fr-CA"/>
              </w:rPr>
              <w:t>Demander le congé</w:t>
            </w:r>
            <w:bookmarkEnd w:id="7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70B" w:rsidRPr="00C34AD7" w:rsidRDefault="00AD5EE3" w:rsidP="000A671D">
            <w:pPr>
              <w:pStyle w:val="TableParagraph"/>
              <w:spacing w:before="57"/>
              <w:ind w:left="102" w:right="67"/>
              <w:rPr>
                <w:rFonts w:ascii="Arial" w:hAnsi="Arial" w:cs="Arial"/>
                <w:spacing w:val="-1"/>
                <w:lang w:val="fr-CA"/>
              </w:rPr>
            </w:pPr>
            <w:bookmarkStart w:id="8" w:name="lt_pId011"/>
            <w:r w:rsidRPr="00C34AD7">
              <w:rPr>
                <w:rFonts w:ascii="Arial" w:hAnsi="Arial" w:cs="Arial"/>
                <w:spacing w:val="-1"/>
                <w:lang w:val="fr-CA"/>
              </w:rPr>
              <w:t>Employé autorisé à participer à l’une des activités syndicales à l’étape</w:t>
            </w:r>
            <w:r w:rsidR="00CA3556" w:rsidRPr="00C34AD7">
              <w:rPr>
                <w:rFonts w:ascii="Arial" w:hAnsi="Arial" w:cs="Arial"/>
                <w:spacing w:val="-1"/>
                <w:lang w:val="fr-CA"/>
              </w:rPr>
              <w:t> </w:t>
            </w:r>
            <w:r w:rsidRPr="00C34AD7">
              <w:rPr>
                <w:rFonts w:ascii="Arial" w:hAnsi="Arial" w:cs="Arial"/>
                <w:spacing w:val="-1"/>
                <w:lang w:val="fr-CA"/>
              </w:rPr>
              <w:t>1</w:t>
            </w:r>
            <w:bookmarkEnd w:id="8"/>
            <w:r w:rsidRPr="0016606E">
              <w:rPr>
                <w:rFonts w:ascii="Arial" w:hAnsi="Arial" w:cs="Arial"/>
                <w:spacing w:val="-1"/>
                <w:lang w:val="fr-CA"/>
              </w:rPr>
              <w:t xml:space="preserve"> 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70B" w:rsidRPr="00C34AD7" w:rsidRDefault="002B45D2" w:rsidP="00F96DAB">
            <w:pPr>
              <w:pStyle w:val="ListParagraph"/>
              <w:numPr>
                <w:ilvl w:val="1"/>
                <w:numId w:val="3"/>
              </w:numPr>
              <w:spacing w:before="57"/>
              <w:ind w:left="937" w:right="258" w:hanging="850"/>
              <w:rPr>
                <w:rFonts w:ascii="Arial" w:eastAsia="Arial" w:hAnsi="Arial" w:cs="Arial"/>
                <w:lang w:val="fr-CA"/>
              </w:rPr>
            </w:pPr>
            <w:r w:rsidRPr="00C34AD7">
              <w:rPr>
                <w:rFonts w:ascii="Arial" w:hAnsi="Arial" w:cs="Arial"/>
                <w:spacing w:val="-1"/>
                <w:lang w:val="fr-CA"/>
              </w:rPr>
              <w:t>Saisir la demande de congé au système de gestion des congés à l’aide du code</w:t>
            </w:r>
            <w:r w:rsidR="00CA3556" w:rsidRPr="00C34AD7">
              <w:rPr>
                <w:rFonts w:ascii="Arial" w:hAnsi="Arial" w:cs="Arial"/>
                <w:spacing w:val="-1"/>
                <w:lang w:val="fr-CA"/>
              </w:rPr>
              <w:t> </w:t>
            </w:r>
            <w:r w:rsidRPr="00C34AD7">
              <w:rPr>
                <w:rFonts w:ascii="Arial" w:hAnsi="Arial" w:cs="Arial"/>
                <w:spacing w:val="-1"/>
                <w:lang w:val="fr-CA"/>
              </w:rPr>
              <w:t>641 et soumettre la copie électronique de la lettre d’autorisation syndicale à son gestionnaire délégué</w:t>
            </w:r>
            <w:r w:rsidR="00D91427" w:rsidRPr="00C34AD7">
              <w:rPr>
                <w:rFonts w:ascii="Arial" w:hAnsi="Arial" w:cs="Arial"/>
                <w:spacing w:val="-1"/>
                <w:lang w:val="fr-CA"/>
              </w:rPr>
              <w:t>.</w:t>
            </w:r>
          </w:p>
          <w:p w:rsidR="00231EDD" w:rsidRPr="00C34AD7" w:rsidRDefault="00AD5EE3" w:rsidP="00231EDD">
            <w:pPr>
              <w:pStyle w:val="ListParagraph"/>
              <w:numPr>
                <w:ilvl w:val="1"/>
                <w:numId w:val="3"/>
              </w:numPr>
              <w:spacing w:before="60"/>
              <w:ind w:left="937" w:right="258" w:hanging="850"/>
              <w:rPr>
                <w:rFonts w:ascii="Arial" w:eastAsia="Arial" w:hAnsi="Arial" w:cs="Arial"/>
                <w:lang w:val="fr-CA"/>
              </w:rPr>
            </w:pPr>
            <w:bookmarkStart w:id="9" w:name="lt_pId013"/>
            <w:r w:rsidRPr="00C34AD7">
              <w:rPr>
                <w:rFonts w:ascii="Arial" w:hAnsi="Arial" w:cs="Arial"/>
                <w:spacing w:val="-1"/>
                <w:lang w:val="fr-CA"/>
              </w:rPr>
              <w:t>Dans la boîte de commentaires du système de gestion des congés, indiquer l’activité syndicale pour laquelle le congé est demandé, ainsi que la clause applicable de la convention collective.</w:t>
            </w:r>
            <w:bookmarkEnd w:id="9"/>
            <w:r w:rsidRPr="0016606E">
              <w:rPr>
                <w:rFonts w:ascii="Arial" w:hAnsi="Arial" w:cs="Arial"/>
                <w:spacing w:val="-1"/>
                <w:lang w:val="fr-CA"/>
              </w:rPr>
              <w:t xml:space="preserve"> </w:t>
            </w:r>
            <w:r w:rsidR="002B45D2" w:rsidRPr="00C34AD7">
              <w:rPr>
                <w:rFonts w:ascii="Arial" w:hAnsi="Arial" w:cs="Arial"/>
                <w:spacing w:val="-1"/>
                <w:lang w:val="fr-CA"/>
              </w:rPr>
              <w:t>Indiquer aussi le code d’identification syndical fourni par l’Alliance sur la lettre d’autorisation syndicale.</w:t>
            </w:r>
          </w:p>
        </w:tc>
      </w:tr>
      <w:tr w:rsidR="00DC5403" w:rsidRPr="00F81E87" w:rsidTr="00EA3CCE">
        <w:trPr>
          <w:trHeight w:hRule="exact" w:val="4411"/>
        </w:trPr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70B" w:rsidRPr="0016606E" w:rsidRDefault="00AD5EE3" w:rsidP="00F96DAB">
            <w:pPr>
              <w:pStyle w:val="TableParagraph"/>
              <w:numPr>
                <w:ilvl w:val="0"/>
                <w:numId w:val="4"/>
              </w:numPr>
              <w:spacing w:before="56"/>
              <w:ind w:right="280"/>
              <w:rPr>
                <w:rFonts w:ascii="Arial" w:eastAsia="Arial" w:hAnsi="Arial" w:cs="Arial"/>
                <w:lang w:val="fr-CA"/>
              </w:rPr>
            </w:pPr>
            <w:bookmarkStart w:id="10" w:name="lt_pId015"/>
            <w:r w:rsidRPr="00C34AD7">
              <w:rPr>
                <w:rFonts w:ascii="Arial" w:hAnsi="Arial" w:cs="Arial"/>
                <w:spacing w:val="-1"/>
                <w:lang w:val="fr-CA"/>
              </w:rPr>
              <w:t>Approuver ou refuser le congé</w:t>
            </w:r>
            <w:bookmarkEnd w:id="10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70B" w:rsidRPr="0016606E" w:rsidRDefault="00AD5EE3" w:rsidP="00F96DAB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lang w:val="fr-CA"/>
              </w:rPr>
            </w:pPr>
            <w:bookmarkStart w:id="11" w:name="lt_pId016"/>
            <w:r w:rsidRPr="00C34AD7">
              <w:rPr>
                <w:rFonts w:ascii="Arial" w:hAnsi="Arial" w:cs="Arial"/>
                <w:spacing w:val="-1"/>
                <w:lang w:val="fr-CA"/>
              </w:rPr>
              <w:t>Gestionnaire délégué de l’employé demandant le congé à l’étape</w:t>
            </w:r>
            <w:r w:rsidR="00CA3556" w:rsidRPr="00C34AD7">
              <w:rPr>
                <w:rFonts w:ascii="Arial" w:hAnsi="Arial" w:cs="Arial"/>
                <w:spacing w:val="-1"/>
                <w:lang w:val="fr-CA"/>
              </w:rPr>
              <w:t> </w:t>
            </w:r>
            <w:r w:rsidRPr="00C34AD7">
              <w:rPr>
                <w:rFonts w:ascii="Arial" w:hAnsi="Arial" w:cs="Arial"/>
                <w:spacing w:val="-1"/>
                <w:lang w:val="fr-CA"/>
              </w:rPr>
              <w:t>2</w:t>
            </w:r>
            <w:bookmarkEnd w:id="11"/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70B" w:rsidRPr="00C34AD7" w:rsidRDefault="002B45D2" w:rsidP="00F96DAB">
            <w:pPr>
              <w:pStyle w:val="ListParagraph"/>
              <w:numPr>
                <w:ilvl w:val="1"/>
                <w:numId w:val="2"/>
              </w:numPr>
              <w:spacing w:before="56"/>
              <w:ind w:left="937" w:hanging="835"/>
              <w:rPr>
                <w:rFonts w:ascii="Arial" w:eastAsia="Arial" w:hAnsi="Arial" w:cs="Arial"/>
                <w:lang w:val="fr-CA"/>
              </w:rPr>
            </w:pPr>
            <w:r w:rsidRPr="00C34AD7">
              <w:rPr>
                <w:rFonts w:ascii="Arial" w:hAnsi="Arial" w:cs="Arial"/>
                <w:spacing w:val="-2"/>
                <w:lang w:val="fr-CA"/>
              </w:rPr>
              <w:t>Examiner la lettre d’autorisation syndicale par souci d’exactitude et d’admissibilité.</w:t>
            </w:r>
          </w:p>
          <w:p w:rsidR="0009270B" w:rsidRPr="00C34AD7" w:rsidRDefault="00694658" w:rsidP="00F96DAB">
            <w:pPr>
              <w:pStyle w:val="ListParagraph"/>
              <w:numPr>
                <w:ilvl w:val="1"/>
                <w:numId w:val="2"/>
              </w:numPr>
              <w:spacing w:before="59" w:line="248" w:lineRule="auto"/>
              <w:ind w:left="937" w:right="107" w:hanging="835"/>
              <w:rPr>
                <w:rFonts w:ascii="Arial" w:eastAsia="Arial" w:hAnsi="Arial" w:cs="Arial"/>
                <w:lang w:val="fr-CA"/>
              </w:rPr>
            </w:pPr>
            <w:r w:rsidRPr="00C34AD7">
              <w:rPr>
                <w:rFonts w:ascii="Arial" w:eastAsia="Arial" w:hAnsi="Arial" w:cs="Arial"/>
                <w:spacing w:val="-1"/>
                <w:lang w:val="fr-CA"/>
              </w:rPr>
              <w:t>Assurer</w:t>
            </w:r>
            <w:r w:rsidR="002B45D2" w:rsidRPr="00C34AD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 w:rsidRPr="00C34AD7">
              <w:rPr>
                <w:rFonts w:ascii="Arial" w:eastAsia="Arial" w:hAnsi="Arial" w:cs="Arial"/>
                <w:spacing w:val="-1"/>
                <w:lang w:val="fr-CA"/>
              </w:rPr>
              <w:t>l’observation relative au niveau de délégation des RH conformément à l’instrument ministériel de délégation des pouvoirs de RH.</w:t>
            </w:r>
          </w:p>
          <w:p w:rsidR="0009270B" w:rsidRPr="0016606E" w:rsidRDefault="00AD5EE3" w:rsidP="00F96DAB">
            <w:pPr>
              <w:pStyle w:val="ListParagraph"/>
              <w:numPr>
                <w:ilvl w:val="1"/>
                <w:numId w:val="2"/>
              </w:numPr>
              <w:spacing w:before="59" w:line="248" w:lineRule="auto"/>
              <w:ind w:left="937" w:right="107" w:hanging="835"/>
              <w:rPr>
                <w:rFonts w:ascii="Arial" w:eastAsia="Arial" w:hAnsi="Arial" w:cs="Arial"/>
                <w:lang w:val="fr-CA"/>
              </w:rPr>
            </w:pPr>
            <w:bookmarkStart w:id="12" w:name="lt_pId019"/>
            <w:r w:rsidRPr="00C34AD7">
              <w:rPr>
                <w:rFonts w:ascii="Arial" w:eastAsia="Arial" w:hAnsi="Arial" w:cs="Arial"/>
                <w:spacing w:val="-1"/>
                <w:lang w:val="fr-CA"/>
              </w:rPr>
              <w:t>Assurer la conformité aux paramètres de la convention collective (certaines de ces clauses demeurent assujetties à des exigences opérationnelles).</w:t>
            </w:r>
            <w:bookmarkEnd w:id="12"/>
            <w:r w:rsidR="00EA3CCE">
              <w:rPr>
                <w:rFonts w:ascii="Arial" w:eastAsia="Arial" w:hAnsi="Arial" w:cs="Arial"/>
                <w:spacing w:val="-1"/>
                <w:lang w:val="fr-CA"/>
              </w:rPr>
              <w:t xml:space="preserve"> Si des questions, </w:t>
            </w:r>
            <w:proofErr w:type="gramStart"/>
            <w:r w:rsidR="00EA3CCE">
              <w:rPr>
                <w:rFonts w:ascii="Arial" w:eastAsia="Arial" w:hAnsi="Arial" w:cs="Arial"/>
                <w:spacing w:val="-1"/>
                <w:lang w:val="fr-CA"/>
              </w:rPr>
              <w:t>communiquer</w:t>
            </w:r>
            <w:proofErr w:type="gramEnd"/>
            <w:r w:rsidR="00EA3CCE">
              <w:rPr>
                <w:rFonts w:ascii="Arial" w:eastAsia="Arial" w:hAnsi="Arial" w:cs="Arial"/>
                <w:spacing w:val="-1"/>
                <w:lang w:val="fr-CA"/>
              </w:rPr>
              <w:t xml:space="preserve"> avec les Relations de travail.</w:t>
            </w:r>
          </w:p>
          <w:p w:rsidR="0009270B" w:rsidRPr="00EA3CCE" w:rsidRDefault="00AD5EE3" w:rsidP="00EA3CCE">
            <w:pPr>
              <w:pStyle w:val="ListParagraph"/>
              <w:numPr>
                <w:ilvl w:val="1"/>
                <w:numId w:val="2"/>
              </w:numPr>
              <w:spacing w:before="59" w:line="248" w:lineRule="auto"/>
              <w:ind w:left="937" w:right="107" w:hanging="835"/>
              <w:rPr>
                <w:rFonts w:ascii="Arial" w:eastAsia="Arial" w:hAnsi="Arial" w:cs="Arial"/>
                <w:lang w:val="fr-CA"/>
              </w:rPr>
            </w:pPr>
            <w:bookmarkStart w:id="13" w:name="lt_pId020"/>
            <w:r w:rsidRPr="00C34AD7">
              <w:rPr>
                <w:rFonts w:ascii="Arial" w:hAnsi="Arial" w:cs="Arial"/>
                <w:lang w:val="fr-CA"/>
              </w:rPr>
              <w:t>Approuver ou refuser le congé dans le système de congés.</w:t>
            </w:r>
            <w:bookmarkEnd w:id="13"/>
            <w:r w:rsidRPr="0016606E">
              <w:rPr>
                <w:rFonts w:ascii="Arial" w:hAnsi="Arial" w:cs="Arial"/>
                <w:lang w:val="fr-CA"/>
              </w:rPr>
              <w:t xml:space="preserve"> </w:t>
            </w:r>
            <w:r w:rsidR="00694658" w:rsidRPr="00C34AD7">
              <w:rPr>
                <w:rFonts w:ascii="Arial" w:hAnsi="Arial" w:cs="Arial"/>
                <w:lang w:val="fr-CA"/>
              </w:rPr>
              <w:t xml:space="preserve">S’il est approuvé, faire parvenir la lettre d’autorisation syndicale </w:t>
            </w:r>
            <w:r w:rsidR="00EA3CCE">
              <w:rPr>
                <w:rFonts w:ascii="Arial" w:hAnsi="Arial" w:cs="Arial"/>
                <w:lang w:val="fr-CA"/>
              </w:rPr>
              <w:t xml:space="preserve">à votre </w:t>
            </w:r>
            <w:hyperlink r:id="rId9" w:history="1">
              <w:r w:rsidR="00EA3CCE" w:rsidRPr="00EA3CCE">
                <w:rPr>
                  <w:rStyle w:val="Hyperlink"/>
                  <w:rFonts w:ascii="Arial" w:hAnsi="Arial" w:cs="Arial"/>
                  <w:lang w:val="fr-CA"/>
                </w:rPr>
                <w:t>conseiller/ère en Relations de travail</w:t>
              </w:r>
            </w:hyperlink>
            <w:r w:rsidR="00694658" w:rsidRPr="00C34AD7">
              <w:rPr>
                <w:rFonts w:ascii="Arial" w:hAnsi="Arial" w:cs="Arial"/>
                <w:lang w:val="fr-CA"/>
              </w:rPr>
              <w:t>.</w:t>
            </w:r>
          </w:p>
          <w:p w:rsidR="00EA3CCE" w:rsidRPr="00EA3CCE" w:rsidRDefault="00EA3CCE" w:rsidP="00EA3CCE">
            <w:pPr>
              <w:pStyle w:val="ListParagraph"/>
              <w:numPr>
                <w:ilvl w:val="1"/>
                <w:numId w:val="2"/>
              </w:numPr>
              <w:spacing w:before="59" w:line="248" w:lineRule="auto"/>
              <w:ind w:left="937" w:right="107" w:hanging="835"/>
              <w:rPr>
                <w:rFonts w:ascii="Arial" w:eastAsia="Arial" w:hAnsi="Arial" w:cs="Arial"/>
                <w:lang w:val="fr-CA"/>
              </w:rPr>
            </w:pPr>
            <w:r>
              <w:rPr>
                <w:rFonts w:ascii="Arial" w:eastAsia="Arial" w:hAnsi="Arial" w:cs="Arial"/>
                <w:lang w:val="fr-CA"/>
              </w:rPr>
              <w:t>Le conseiller/ère en Relations de travail envoie la lettre aux Relations de travail ministérielles.</w:t>
            </w:r>
          </w:p>
          <w:p w:rsidR="00EA3CCE" w:rsidRPr="00C34AD7" w:rsidRDefault="00EA3CCE" w:rsidP="00EA3CCE">
            <w:pPr>
              <w:pStyle w:val="ListParagraph"/>
              <w:numPr>
                <w:ilvl w:val="0"/>
                <w:numId w:val="2"/>
              </w:numPr>
              <w:spacing w:before="59" w:line="248" w:lineRule="auto"/>
              <w:ind w:right="107"/>
              <w:rPr>
                <w:rFonts w:ascii="Arial" w:eastAsia="Arial" w:hAnsi="Arial" w:cs="Arial"/>
                <w:lang w:val="fr-CA"/>
              </w:rPr>
            </w:pPr>
          </w:p>
        </w:tc>
      </w:tr>
      <w:tr w:rsidR="00DC5403" w:rsidRPr="00F81E87" w:rsidTr="00EA3CCE">
        <w:trPr>
          <w:trHeight w:hRule="exact" w:val="2417"/>
        </w:trPr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70B" w:rsidRPr="0016606E" w:rsidRDefault="00AD5EE3" w:rsidP="00F96DAB">
            <w:pPr>
              <w:pStyle w:val="TableParagraph"/>
              <w:numPr>
                <w:ilvl w:val="0"/>
                <w:numId w:val="4"/>
              </w:numPr>
              <w:spacing w:before="56"/>
              <w:ind w:right="181"/>
              <w:rPr>
                <w:rFonts w:ascii="Arial" w:eastAsia="Arial" w:hAnsi="Arial" w:cs="Arial"/>
                <w:lang w:val="fr-CA"/>
              </w:rPr>
            </w:pPr>
            <w:bookmarkStart w:id="14" w:name="lt_pId022"/>
            <w:r w:rsidRPr="00C34AD7">
              <w:rPr>
                <w:rFonts w:ascii="Arial" w:hAnsi="Arial" w:cs="Arial"/>
                <w:spacing w:val="-1"/>
                <w:lang w:val="fr-CA"/>
              </w:rPr>
              <w:lastRenderedPageBreak/>
              <w:t>Préparer le rapport d’utilisation des congés</w:t>
            </w:r>
            <w:bookmarkEnd w:id="14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70B" w:rsidRPr="00C34AD7" w:rsidRDefault="00AD5EE3" w:rsidP="00F96DAB">
            <w:pPr>
              <w:pStyle w:val="TableParagraph"/>
              <w:spacing w:before="56"/>
              <w:ind w:left="102" w:right="203"/>
              <w:rPr>
                <w:rFonts w:ascii="Arial" w:eastAsia="Arial" w:hAnsi="Arial" w:cs="Arial"/>
                <w:lang w:val="fr-CA"/>
              </w:rPr>
            </w:pPr>
            <w:bookmarkStart w:id="15" w:name="lt_pId023"/>
            <w:r w:rsidRPr="00C34AD7">
              <w:rPr>
                <w:rFonts w:ascii="Arial" w:hAnsi="Arial" w:cs="Arial"/>
                <w:spacing w:val="-1"/>
                <w:lang w:val="fr-CA"/>
              </w:rPr>
              <w:t>Relations de travail ministérielles</w:t>
            </w:r>
            <w:bookmarkEnd w:id="15"/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70B" w:rsidRPr="00C34AD7" w:rsidRDefault="00694658" w:rsidP="00F96DAB">
            <w:pPr>
              <w:pStyle w:val="TableParagraph"/>
              <w:numPr>
                <w:ilvl w:val="1"/>
                <w:numId w:val="6"/>
              </w:numPr>
              <w:spacing w:before="60"/>
              <w:ind w:left="937" w:right="340" w:hanging="850"/>
              <w:rPr>
                <w:rFonts w:ascii="Arial" w:hAnsi="Arial" w:cs="Arial"/>
                <w:spacing w:val="-2"/>
                <w:lang w:val="fr-CA"/>
              </w:rPr>
            </w:pPr>
            <w:r w:rsidRPr="0016606E">
              <w:rPr>
                <w:rFonts w:ascii="Arial" w:hAnsi="Arial" w:cs="Arial"/>
                <w:spacing w:val="-2"/>
                <w:lang w:val="fr-CA"/>
              </w:rPr>
              <w:t>Imprimer des rapports bimensuels des transactions de code</w:t>
            </w:r>
            <w:r w:rsidR="00CA3556" w:rsidRPr="00C34AD7">
              <w:rPr>
                <w:rFonts w:ascii="Arial" w:hAnsi="Arial" w:cs="Arial"/>
                <w:spacing w:val="-2"/>
                <w:lang w:val="fr-CA"/>
              </w:rPr>
              <w:t> </w:t>
            </w:r>
            <w:r w:rsidRPr="00C34AD7">
              <w:rPr>
                <w:rFonts w:ascii="Arial" w:hAnsi="Arial" w:cs="Arial"/>
                <w:spacing w:val="-2"/>
                <w:lang w:val="fr-CA"/>
              </w:rPr>
              <w:t>641 de votre ministère.</w:t>
            </w:r>
          </w:p>
          <w:p w:rsidR="0009270B" w:rsidRPr="00C34AD7" w:rsidRDefault="00694658" w:rsidP="00601716">
            <w:pPr>
              <w:pStyle w:val="TableParagraph"/>
              <w:numPr>
                <w:ilvl w:val="1"/>
                <w:numId w:val="7"/>
              </w:numPr>
              <w:spacing w:before="60"/>
              <w:ind w:right="340"/>
              <w:rPr>
                <w:rFonts w:ascii="Arial" w:hAnsi="Arial" w:cs="Arial"/>
                <w:spacing w:val="-1"/>
                <w:lang w:val="fr-CA"/>
              </w:rPr>
            </w:pPr>
            <w:bookmarkStart w:id="16" w:name="lt_pId025"/>
            <w:r w:rsidRPr="00C34AD7">
              <w:rPr>
                <w:rFonts w:ascii="Arial" w:hAnsi="Arial" w:cs="Arial"/>
                <w:spacing w:val="-1"/>
                <w:lang w:val="fr-CA"/>
              </w:rPr>
              <w:t>1</w:t>
            </w:r>
            <w:r w:rsidR="00D91427" w:rsidRPr="00C34AD7">
              <w:rPr>
                <w:rFonts w:ascii="Arial" w:hAnsi="Arial" w:cs="Arial"/>
                <w:spacing w:val="-1"/>
                <w:vertAlign w:val="superscript"/>
                <w:lang w:val="fr-CA"/>
              </w:rPr>
              <w:t>er</w:t>
            </w:r>
            <w:r w:rsidRPr="00C34AD7">
              <w:rPr>
                <w:rFonts w:ascii="Arial" w:hAnsi="Arial" w:cs="Arial"/>
                <w:spacing w:val="-1"/>
                <w:lang w:val="fr-CA"/>
              </w:rPr>
              <w:t xml:space="preserve"> j</w:t>
            </w:r>
            <w:r w:rsidR="00AD5EE3" w:rsidRPr="00C34AD7">
              <w:rPr>
                <w:rFonts w:ascii="Arial" w:hAnsi="Arial" w:cs="Arial"/>
                <w:spacing w:val="-1"/>
                <w:lang w:val="fr-CA"/>
              </w:rPr>
              <w:t>anvier</w:t>
            </w:r>
            <w:r w:rsidRPr="00C34AD7">
              <w:rPr>
                <w:rFonts w:ascii="Arial" w:hAnsi="Arial" w:cs="Arial"/>
                <w:spacing w:val="-1"/>
                <w:lang w:val="fr-CA"/>
              </w:rPr>
              <w:t xml:space="preserve"> au 28 f</w:t>
            </w:r>
            <w:r w:rsidR="00AD5EE3" w:rsidRPr="00C34AD7">
              <w:rPr>
                <w:rFonts w:ascii="Arial" w:hAnsi="Arial" w:cs="Arial"/>
                <w:spacing w:val="-1"/>
                <w:lang w:val="fr-CA"/>
              </w:rPr>
              <w:t>évrier,</w:t>
            </w:r>
            <w:bookmarkEnd w:id="16"/>
            <w:r w:rsidR="00AD5EE3" w:rsidRPr="00C34AD7">
              <w:rPr>
                <w:rFonts w:ascii="Arial" w:hAnsi="Arial" w:cs="Arial"/>
                <w:spacing w:val="-1"/>
                <w:lang w:val="fr-CA"/>
              </w:rPr>
              <w:t xml:space="preserve"> </w:t>
            </w:r>
          </w:p>
          <w:p w:rsidR="0009270B" w:rsidRPr="00C34AD7" w:rsidRDefault="00694658" w:rsidP="00601716">
            <w:pPr>
              <w:pStyle w:val="TableParagraph"/>
              <w:numPr>
                <w:ilvl w:val="1"/>
                <w:numId w:val="7"/>
              </w:numPr>
              <w:ind w:right="340"/>
              <w:rPr>
                <w:rFonts w:ascii="Arial" w:hAnsi="Arial" w:cs="Arial"/>
                <w:spacing w:val="-1"/>
                <w:lang w:val="fr-CA"/>
              </w:rPr>
            </w:pPr>
            <w:bookmarkStart w:id="17" w:name="lt_pId026"/>
            <w:r w:rsidRPr="00C34AD7">
              <w:rPr>
                <w:rFonts w:ascii="Arial" w:hAnsi="Arial" w:cs="Arial"/>
                <w:spacing w:val="-1"/>
                <w:lang w:val="fr-CA"/>
              </w:rPr>
              <w:t>1</w:t>
            </w:r>
            <w:r w:rsidR="00D91427" w:rsidRPr="00C34AD7">
              <w:rPr>
                <w:rFonts w:ascii="Arial" w:hAnsi="Arial" w:cs="Arial"/>
                <w:spacing w:val="-1"/>
                <w:vertAlign w:val="superscript"/>
                <w:lang w:val="fr-CA"/>
              </w:rPr>
              <w:t>er</w:t>
            </w:r>
            <w:r w:rsidRPr="00C34AD7">
              <w:rPr>
                <w:rFonts w:ascii="Arial" w:hAnsi="Arial" w:cs="Arial"/>
                <w:spacing w:val="-1"/>
                <w:vertAlign w:val="superscript"/>
                <w:lang w:val="fr-CA"/>
              </w:rPr>
              <w:t xml:space="preserve"> </w:t>
            </w:r>
            <w:r w:rsidRPr="00C34AD7">
              <w:rPr>
                <w:rFonts w:ascii="Arial" w:hAnsi="Arial" w:cs="Arial"/>
                <w:spacing w:val="-1"/>
                <w:lang w:val="fr-CA"/>
              </w:rPr>
              <w:t>mars au 30 a</w:t>
            </w:r>
            <w:r w:rsidR="00AD5EE3" w:rsidRPr="00C34AD7">
              <w:rPr>
                <w:rFonts w:ascii="Arial" w:hAnsi="Arial" w:cs="Arial"/>
                <w:spacing w:val="-1"/>
                <w:lang w:val="fr-CA"/>
              </w:rPr>
              <w:t>vril,</w:t>
            </w:r>
            <w:bookmarkEnd w:id="17"/>
            <w:r w:rsidR="00AD5EE3" w:rsidRPr="00C34AD7">
              <w:rPr>
                <w:rFonts w:ascii="Arial" w:hAnsi="Arial" w:cs="Arial"/>
                <w:spacing w:val="-1"/>
                <w:lang w:val="fr-CA"/>
              </w:rPr>
              <w:t xml:space="preserve"> </w:t>
            </w:r>
          </w:p>
          <w:p w:rsidR="0009270B" w:rsidRPr="00C34AD7" w:rsidRDefault="00694658" w:rsidP="00601716">
            <w:pPr>
              <w:pStyle w:val="TableParagraph"/>
              <w:numPr>
                <w:ilvl w:val="1"/>
                <w:numId w:val="7"/>
              </w:numPr>
              <w:ind w:right="340"/>
              <w:rPr>
                <w:rFonts w:ascii="Arial" w:hAnsi="Arial" w:cs="Arial"/>
                <w:spacing w:val="-1"/>
                <w:lang w:val="fr-CA"/>
              </w:rPr>
            </w:pPr>
            <w:bookmarkStart w:id="18" w:name="lt_pId027"/>
            <w:r w:rsidRPr="00C34AD7">
              <w:rPr>
                <w:rFonts w:ascii="Arial" w:hAnsi="Arial" w:cs="Arial"/>
                <w:spacing w:val="-1"/>
                <w:lang w:val="fr-CA"/>
              </w:rPr>
              <w:t>E</w:t>
            </w:r>
            <w:r w:rsidR="00AD5EE3" w:rsidRPr="00C34AD7">
              <w:rPr>
                <w:rFonts w:ascii="Arial" w:hAnsi="Arial" w:cs="Arial"/>
                <w:spacing w:val="-1"/>
                <w:lang w:val="fr-CA"/>
              </w:rPr>
              <w:t>tc</w:t>
            </w:r>
            <w:bookmarkEnd w:id="18"/>
            <w:r w:rsidRPr="00C34AD7">
              <w:rPr>
                <w:rFonts w:ascii="Arial" w:hAnsi="Arial" w:cs="Arial"/>
                <w:spacing w:val="-1"/>
                <w:lang w:val="fr-CA"/>
              </w:rPr>
              <w:t>.</w:t>
            </w:r>
            <w:r w:rsidR="00AD5EE3" w:rsidRPr="00C34AD7">
              <w:rPr>
                <w:rFonts w:ascii="Arial" w:hAnsi="Arial" w:cs="Arial"/>
                <w:spacing w:val="-1"/>
                <w:lang w:val="fr-CA"/>
              </w:rPr>
              <w:t xml:space="preserve"> </w:t>
            </w:r>
          </w:p>
          <w:p w:rsidR="0009270B" w:rsidRPr="00C34AD7" w:rsidRDefault="00694658" w:rsidP="00F96DAB">
            <w:pPr>
              <w:pStyle w:val="TableParagraph"/>
              <w:numPr>
                <w:ilvl w:val="1"/>
                <w:numId w:val="6"/>
              </w:numPr>
              <w:spacing w:before="60"/>
              <w:ind w:left="937" w:right="340" w:hanging="850"/>
              <w:rPr>
                <w:rFonts w:ascii="Arial" w:eastAsia="Arial" w:hAnsi="Arial" w:cs="Arial"/>
                <w:lang w:val="fr-CA"/>
              </w:rPr>
            </w:pPr>
            <w:r w:rsidRPr="0016606E">
              <w:rPr>
                <w:rFonts w:ascii="Arial" w:hAnsi="Arial" w:cs="Arial"/>
                <w:spacing w:val="-1"/>
                <w:lang w:val="fr-CA"/>
              </w:rPr>
              <w:t xml:space="preserve">Envoyer le rapport de congé avec la lettre d’autorisation syndicale pour </w:t>
            </w:r>
            <w:r w:rsidRPr="00C34AD7">
              <w:rPr>
                <w:rFonts w:ascii="Arial" w:hAnsi="Arial" w:cs="Arial"/>
                <w:spacing w:val="-1"/>
                <w:lang w:val="fr-CA"/>
              </w:rPr>
              <w:t>préparation de la facture.</w:t>
            </w:r>
          </w:p>
        </w:tc>
      </w:tr>
      <w:tr w:rsidR="00DC5403" w:rsidRPr="00F81E87" w:rsidTr="00EA3CCE">
        <w:trPr>
          <w:trHeight w:hRule="exact" w:val="3551"/>
        </w:trPr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70B" w:rsidRPr="00C34AD7" w:rsidRDefault="00AD5EE3" w:rsidP="00F96DAB">
            <w:pPr>
              <w:pStyle w:val="TableParagraph"/>
              <w:numPr>
                <w:ilvl w:val="0"/>
                <w:numId w:val="4"/>
              </w:numPr>
              <w:spacing w:before="59"/>
              <w:rPr>
                <w:rFonts w:ascii="Arial" w:eastAsia="Arial" w:hAnsi="Arial" w:cs="Arial"/>
                <w:lang w:val="fr-CA"/>
              </w:rPr>
            </w:pPr>
            <w:bookmarkStart w:id="19" w:name="lt_pId029"/>
            <w:r w:rsidRPr="00C34AD7">
              <w:rPr>
                <w:rFonts w:ascii="Arial" w:hAnsi="Arial" w:cs="Arial"/>
                <w:spacing w:val="-1"/>
                <w:lang w:val="fr-CA"/>
              </w:rPr>
              <w:t>Facturer l’Alliance</w:t>
            </w:r>
            <w:bookmarkEnd w:id="19"/>
            <w:r w:rsidRPr="00C34AD7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70B" w:rsidRPr="00C34AD7" w:rsidRDefault="00AD5EE3" w:rsidP="000A671D">
            <w:pPr>
              <w:pStyle w:val="TableParagraph"/>
              <w:spacing w:before="59"/>
              <w:ind w:left="102" w:right="351"/>
              <w:rPr>
                <w:rFonts w:ascii="Arial" w:eastAsia="Arial" w:hAnsi="Arial" w:cs="Arial"/>
                <w:lang w:val="fr-CA"/>
              </w:rPr>
            </w:pPr>
            <w:bookmarkStart w:id="20" w:name="lt_pId030"/>
            <w:r w:rsidRPr="00C34AD7">
              <w:rPr>
                <w:rFonts w:ascii="Arial" w:eastAsia="Arial" w:hAnsi="Arial" w:cs="Arial"/>
                <w:spacing w:val="-1"/>
                <w:lang w:val="fr-CA"/>
              </w:rPr>
              <w:t>Finances – Comptes débiteurs (national)</w:t>
            </w:r>
            <w:bookmarkEnd w:id="20"/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70B" w:rsidRPr="0016606E" w:rsidRDefault="00AD5EE3" w:rsidP="00F96DAB">
            <w:pPr>
              <w:pStyle w:val="ListParagraph"/>
              <w:numPr>
                <w:ilvl w:val="1"/>
                <w:numId w:val="1"/>
              </w:numPr>
              <w:tabs>
                <w:tab w:val="left" w:pos="823"/>
              </w:tabs>
              <w:spacing w:before="59"/>
              <w:rPr>
                <w:rFonts w:ascii="Arial" w:eastAsia="Arial" w:hAnsi="Arial" w:cs="Arial"/>
                <w:lang w:val="fr-CA"/>
              </w:rPr>
            </w:pPr>
            <w:bookmarkStart w:id="21" w:name="lt_pId031"/>
            <w:r w:rsidRPr="00C34AD7">
              <w:rPr>
                <w:rFonts w:ascii="Arial" w:hAnsi="Arial" w:cs="Arial"/>
                <w:spacing w:val="-1"/>
                <w:lang w:val="fr-CA"/>
              </w:rPr>
              <w:t>Calculer le montant à facturer au syndicat.</w:t>
            </w:r>
            <w:bookmarkEnd w:id="21"/>
          </w:p>
          <w:p w:rsidR="0009270B" w:rsidRPr="00C34AD7" w:rsidRDefault="0001459B" w:rsidP="00F96DAB">
            <w:pPr>
              <w:pStyle w:val="ListParagraph"/>
              <w:numPr>
                <w:ilvl w:val="1"/>
                <w:numId w:val="1"/>
              </w:numPr>
              <w:tabs>
                <w:tab w:val="left" w:pos="823"/>
              </w:tabs>
              <w:spacing w:before="59"/>
              <w:rPr>
                <w:rFonts w:ascii="Arial" w:eastAsia="Arial" w:hAnsi="Arial" w:cs="Arial"/>
                <w:lang w:val="fr-CA"/>
              </w:rPr>
            </w:pPr>
            <w:r w:rsidRPr="00C34AD7">
              <w:rPr>
                <w:rFonts w:ascii="Arial" w:hAnsi="Arial" w:cs="Arial"/>
                <w:spacing w:val="-1"/>
                <w:lang w:val="fr-CA"/>
              </w:rPr>
              <w:t>Le taux du Régime d’avantages sociaux des employés (RASE) sera de 6 %.</w:t>
            </w:r>
          </w:p>
          <w:p w:rsidR="0009270B" w:rsidRPr="00C34AD7" w:rsidRDefault="00A64D2B" w:rsidP="00F96DAB">
            <w:pPr>
              <w:pStyle w:val="ListParagraph"/>
              <w:numPr>
                <w:ilvl w:val="1"/>
                <w:numId w:val="1"/>
              </w:numPr>
              <w:tabs>
                <w:tab w:val="left" w:pos="823"/>
              </w:tabs>
              <w:spacing w:before="59"/>
              <w:rPr>
                <w:rFonts w:ascii="Arial" w:eastAsia="Arial" w:hAnsi="Arial" w:cs="Arial"/>
                <w:lang w:val="fr-CA"/>
              </w:rPr>
            </w:pPr>
            <w:r w:rsidRPr="00C34AD7">
              <w:rPr>
                <w:rFonts w:ascii="Arial" w:hAnsi="Arial" w:cs="Arial"/>
                <w:spacing w:val="-1"/>
                <w:lang w:val="fr-CA"/>
              </w:rPr>
              <w:t xml:space="preserve">Préparer des copies distinctes pour le Bureau national ou l’Élément </w:t>
            </w:r>
            <w:r w:rsidR="00481AED" w:rsidRPr="00C34AD7">
              <w:rPr>
                <w:rFonts w:ascii="Arial" w:hAnsi="Arial" w:cs="Arial"/>
                <w:spacing w:val="-1"/>
                <w:lang w:val="fr-CA"/>
              </w:rPr>
              <w:t>à l’aide du code d’identification syndical et l’adresse de facturation figurant sur la lettre d’autorisation syndicale.</w:t>
            </w:r>
          </w:p>
          <w:p w:rsidR="0009270B" w:rsidRPr="00C34AD7" w:rsidRDefault="00481AED" w:rsidP="00760591">
            <w:pPr>
              <w:pStyle w:val="ListParagraph"/>
              <w:numPr>
                <w:ilvl w:val="1"/>
                <w:numId w:val="1"/>
              </w:numPr>
              <w:tabs>
                <w:tab w:val="left" w:pos="823"/>
              </w:tabs>
              <w:spacing w:before="59"/>
              <w:rPr>
                <w:rFonts w:ascii="Arial" w:eastAsia="Arial" w:hAnsi="Arial" w:cs="Arial"/>
                <w:lang w:val="fr-CA"/>
              </w:rPr>
            </w:pPr>
            <w:r w:rsidRPr="00C34AD7">
              <w:rPr>
                <w:rFonts w:ascii="Arial" w:hAnsi="Arial" w:cs="Arial"/>
                <w:lang w:val="fr-CA"/>
              </w:rPr>
              <w:t>Faire parvenir les factures et la lettre d’autorisation syndicale au Bureau national de l’Alliance ou à l’Élément. Inclure une personne-ressource pour l’Alliance ou l’Élément.</w:t>
            </w:r>
          </w:p>
          <w:p w:rsidR="0009270B" w:rsidRPr="0016606E" w:rsidRDefault="00AD5EE3" w:rsidP="00F96DAB">
            <w:pPr>
              <w:pStyle w:val="ListParagraph"/>
              <w:numPr>
                <w:ilvl w:val="1"/>
                <w:numId w:val="1"/>
              </w:numPr>
              <w:tabs>
                <w:tab w:val="left" w:pos="823"/>
              </w:tabs>
              <w:spacing w:before="61"/>
              <w:rPr>
                <w:rFonts w:ascii="Arial" w:eastAsia="Arial" w:hAnsi="Arial" w:cs="Arial"/>
                <w:lang w:val="fr-CA"/>
              </w:rPr>
            </w:pPr>
            <w:bookmarkStart w:id="22" w:name="lt_pId036"/>
            <w:r w:rsidRPr="00C34AD7">
              <w:rPr>
                <w:rFonts w:ascii="Arial" w:hAnsi="Arial" w:cs="Arial"/>
                <w:spacing w:val="-1"/>
                <w:lang w:val="fr-CA"/>
              </w:rPr>
              <w:t>Appliquer le paiement à la facture une fois reçu.</w:t>
            </w:r>
            <w:bookmarkEnd w:id="22"/>
          </w:p>
        </w:tc>
      </w:tr>
    </w:tbl>
    <w:p w:rsidR="0009270B" w:rsidRPr="00C34AD7" w:rsidRDefault="00F81E87" w:rsidP="0009270B">
      <w:pPr>
        <w:rPr>
          <w:rFonts w:ascii="Arial" w:hAnsi="Arial" w:cs="Arial"/>
          <w:lang w:val="fr-CA"/>
        </w:rPr>
      </w:pPr>
    </w:p>
    <w:sectPr w:rsidR="0009270B" w:rsidRPr="00C34AD7">
      <w:headerReference w:type="default" r:id="rId10"/>
      <w:footerReference w:type="default" r:id="rId11"/>
      <w:pgSz w:w="12240" w:h="15840"/>
      <w:pgMar w:top="1380" w:right="760" w:bottom="1180" w:left="90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6A" w:rsidRDefault="00C1326A">
      <w:r>
        <w:separator/>
      </w:r>
    </w:p>
  </w:endnote>
  <w:endnote w:type="continuationSeparator" w:id="0">
    <w:p w:rsidR="00C1326A" w:rsidRDefault="00C1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08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D19" w:rsidRDefault="00E80D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E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0D19" w:rsidRDefault="00E80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6A" w:rsidRDefault="00C1326A">
      <w:r>
        <w:separator/>
      </w:r>
    </w:p>
  </w:footnote>
  <w:footnote w:type="continuationSeparator" w:id="0">
    <w:p w:rsidR="00C1326A" w:rsidRDefault="00C1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A3" w:rsidRDefault="00D547A3">
    <w:pPr>
      <w:pStyle w:val="Header"/>
    </w:pPr>
  </w:p>
  <w:p w:rsidR="00D547A3" w:rsidRDefault="00D547A3">
    <w:pPr>
      <w:pStyle w:val="Header"/>
    </w:pPr>
  </w:p>
  <w:p w:rsidR="00D547A3" w:rsidRDefault="00D547A3">
    <w:pPr>
      <w:pStyle w:val="Header"/>
    </w:pPr>
    <w:r>
      <w:t xml:space="preserve">Le </w:t>
    </w:r>
    <w:r w:rsidR="00EA3CCE">
      <w:t xml:space="preserve">14 </w:t>
    </w:r>
    <w:proofErr w:type="spellStart"/>
    <w:r w:rsidR="00EA3CCE">
      <w:t>décembre</w:t>
    </w:r>
    <w:proofErr w:type="spellEnd"/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EEA"/>
    <w:multiLevelType w:val="hybridMultilevel"/>
    <w:tmpl w:val="5DDAD7BE"/>
    <w:lvl w:ilvl="0" w:tplc="FDF2F4E8">
      <w:start w:val="1"/>
      <w:numFmt w:val="decimal"/>
      <w:lvlText w:val="%1."/>
      <w:lvlJc w:val="left"/>
      <w:pPr>
        <w:ind w:left="720" w:hanging="360"/>
      </w:pPr>
    </w:lvl>
    <w:lvl w:ilvl="1" w:tplc="F1920E00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8C0C4CC8" w:tentative="1">
      <w:start w:val="1"/>
      <w:numFmt w:val="lowerRoman"/>
      <w:lvlText w:val="%3."/>
      <w:lvlJc w:val="right"/>
      <w:pPr>
        <w:ind w:left="2160" w:hanging="180"/>
      </w:pPr>
    </w:lvl>
    <w:lvl w:ilvl="3" w:tplc="0CB03CD2" w:tentative="1">
      <w:start w:val="1"/>
      <w:numFmt w:val="decimal"/>
      <w:lvlText w:val="%4."/>
      <w:lvlJc w:val="left"/>
      <w:pPr>
        <w:ind w:left="2880" w:hanging="360"/>
      </w:pPr>
    </w:lvl>
    <w:lvl w:ilvl="4" w:tplc="C792B0BA" w:tentative="1">
      <w:start w:val="1"/>
      <w:numFmt w:val="lowerLetter"/>
      <w:lvlText w:val="%5."/>
      <w:lvlJc w:val="left"/>
      <w:pPr>
        <w:ind w:left="3600" w:hanging="360"/>
      </w:pPr>
    </w:lvl>
    <w:lvl w:ilvl="5" w:tplc="6496432E" w:tentative="1">
      <w:start w:val="1"/>
      <w:numFmt w:val="lowerRoman"/>
      <w:lvlText w:val="%6."/>
      <w:lvlJc w:val="right"/>
      <w:pPr>
        <w:ind w:left="4320" w:hanging="180"/>
      </w:pPr>
    </w:lvl>
    <w:lvl w:ilvl="6" w:tplc="8BBADE08" w:tentative="1">
      <w:start w:val="1"/>
      <w:numFmt w:val="decimal"/>
      <w:lvlText w:val="%7."/>
      <w:lvlJc w:val="left"/>
      <w:pPr>
        <w:ind w:left="5040" w:hanging="360"/>
      </w:pPr>
    </w:lvl>
    <w:lvl w:ilvl="7" w:tplc="9BDCC7AE" w:tentative="1">
      <w:start w:val="1"/>
      <w:numFmt w:val="lowerLetter"/>
      <w:lvlText w:val="%8."/>
      <w:lvlJc w:val="left"/>
      <w:pPr>
        <w:ind w:left="5760" w:hanging="360"/>
      </w:pPr>
    </w:lvl>
    <w:lvl w:ilvl="8" w:tplc="17D0D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32D4"/>
    <w:multiLevelType w:val="hybridMultilevel"/>
    <w:tmpl w:val="6FF8DA3A"/>
    <w:lvl w:ilvl="0" w:tplc="4A0400AE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4E1E613C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D5744F36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620248B2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2BDAD8E2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F7F8980E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FE1C0130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CFCEBAC0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E5AC806C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">
    <w:nsid w:val="0B556EE9"/>
    <w:multiLevelType w:val="multilevel"/>
    <w:tmpl w:val="5C1E733E"/>
    <w:lvl w:ilvl="0">
      <w:start w:val="1"/>
      <w:numFmt w:val="decimal"/>
      <w:lvlText w:val="%1."/>
      <w:lvlJc w:val="left"/>
      <w:pPr>
        <w:ind w:left="540" w:hanging="360"/>
      </w:pPr>
      <w:rPr>
        <w:rFonts w:eastAsia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eastAsia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eastAsia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eastAsia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eastAsia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eastAsia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eastAsia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eastAsia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eastAsiaTheme="minorHAnsi" w:hAnsiTheme="minorHAnsi" w:cstheme="minorBidi" w:hint="default"/>
      </w:rPr>
    </w:lvl>
  </w:abstractNum>
  <w:abstractNum w:abstractNumId="3">
    <w:nsid w:val="1B216E36"/>
    <w:multiLevelType w:val="multilevel"/>
    <w:tmpl w:val="FA5AEEEC"/>
    <w:lvl w:ilvl="0">
      <w:start w:val="2"/>
      <w:numFmt w:val="decimal"/>
      <w:lvlText w:val="%1"/>
      <w:lvlJc w:val="left"/>
      <w:pPr>
        <w:ind w:left="102" w:hanging="737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2" w:hanging="737"/>
      </w:pPr>
      <w:rPr>
        <w:rFonts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98" w:hanging="7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6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4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2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90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88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86" w:hanging="737"/>
      </w:pPr>
      <w:rPr>
        <w:rFonts w:hint="default"/>
      </w:rPr>
    </w:lvl>
  </w:abstractNum>
  <w:abstractNum w:abstractNumId="4">
    <w:nsid w:val="2BB506A9"/>
    <w:multiLevelType w:val="multilevel"/>
    <w:tmpl w:val="5C323DBC"/>
    <w:lvl w:ilvl="0">
      <w:start w:val="6"/>
      <w:numFmt w:val="decimal"/>
      <w:lvlText w:val="%1"/>
      <w:lvlJc w:val="left"/>
      <w:pPr>
        <w:ind w:left="822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22" w:hanging="720"/>
      </w:pPr>
      <w:rPr>
        <w:rFonts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87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0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0" w:hanging="720"/>
      </w:pPr>
      <w:rPr>
        <w:rFonts w:hint="default"/>
      </w:rPr>
    </w:lvl>
  </w:abstractNum>
  <w:abstractNum w:abstractNumId="5">
    <w:nsid w:val="53482779"/>
    <w:multiLevelType w:val="multilevel"/>
    <w:tmpl w:val="80B8B91E"/>
    <w:lvl w:ilvl="0">
      <w:start w:val="1"/>
      <w:numFmt w:val="decimal"/>
      <w:lvlText w:val="%1"/>
      <w:lvlJc w:val="left"/>
      <w:pPr>
        <w:ind w:left="822" w:hanging="7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822" w:hanging="720"/>
      </w:pPr>
      <w:rPr>
        <w:rFonts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87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0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0" w:hanging="720"/>
      </w:pPr>
      <w:rPr>
        <w:rFonts w:hint="default"/>
      </w:rPr>
    </w:lvl>
  </w:abstractNum>
  <w:abstractNum w:abstractNumId="6">
    <w:nsid w:val="750E7248"/>
    <w:multiLevelType w:val="hybridMultilevel"/>
    <w:tmpl w:val="7E5C2D88"/>
    <w:lvl w:ilvl="0" w:tplc="9CB0B2D2">
      <w:start w:val="1"/>
      <w:numFmt w:val="decimal"/>
      <w:lvlText w:val="%1."/>
      <w:lvlJc w:val="left"/>
      <w:pPr>
        <w:ind w:left="462" w:hanging="360"/>
      </w:pPr>
      <w:rPr>
        <w:rFonts w:eastAsiaTheme="minorHAnsi" w:hAnsiTheme="minorHAnsi" w:cstheme="minorBidi" w:hint="default"/>
      </w:rPr>
    </w:lvl>
    <w:lvl w:ilvl="1" w:tplc="B1626D94" w:tentative="1">
      <w:start w:val="1"/>
      <w:numFmt w:val="lowerLetter"/>
      <w:lvlText w:val="%2."/>
      <w:lvlJc w:val="left"/>
      <w:pPr>
        <w:ind w:left="1182" w:hanging="360"/>
      </w:pPr>
    </w:lvl>
    <w:lvl w:ilvl="2" w:tplc="5AE69ADE" w:tentative="1">
      <w:start w:val="1"/>
      <w:numFmt w:val="lowerRoman"/>
      <w:lvlText w:val="%3."/>
      <w:lvlJc w:val="right"/>
      <w:pPr>
        <w:ind w:left="1902" w:hanging="180"/>
      </w:pPr>
    </w:lvl>
    <w:lvl w:ilvl="3" w:tplc="A28A1B02" w:tentative="1">
      <w:start w:val="1"/>
      <w:numFmt w:val="decimal"/>
      <w:lvlText w:val="%4."/>
      <w:lvlJc w:val="left"/>
      <w:pPr>
        <w:ind w:left="2622" w:hanging="360"/>
      </w:pPr>
    </w:lvl>
    <w:lvl w:ilvl="4" w:tplc="68B2E686" w:tentative="1">
      <w:start w:val="1"/>
      <w:numFmt w:val="lowerLetter"/>
      <w:lvlText w:val="%5."/>
      <w:lvlJc w:val="left"/>
      <w:pPr>
        <w:ind w:left="3342" w:hanging="360"/>
      </w:pPr>
    </w:lvl>
    <w:lvl w:ilvl="5" w:tplc="3AFE9CAC" w:tentative="1">
      <w:start w:val="1"/>
      <w:numFmt w:val="lowerRoman"/>
      <w:lvlText w:val="%6."/>
      <w:lvlJc w:val="right"/>
      <w:pPr>
        <w:ind w:left="4062" w:hanging="180"/>
      </w:pPr>
    </w:lvl>
    <w:lvl w:ilvl="6" w:tplc="0F5A6AD6" w:tentative="1">
      <w:start w:val="1"/>
      <w:numFmt w:val="decimal"/>
      <w:lvlText w:val="%7."/>
      <w:lvlJc w:val="left"/>
      <w:pPr>
        <w:ind w:left="4782" w:hanging="360"/>
      </w:pPr>
    </w:lvl>
    <w:lvl w:ilvl="7" w:tplc="2550EBDA" w:tentative="1">
      <w:start w:val="1"/>
      <w:numFmt w:val="lowerLetter"/>
      <w:lvlText w:val="%8."/>
      <w:lvlJc w:val="left"/>
      <w:pPr>
        <w:ind w:left="5502" w:hanging="360"/>
      </w:pPr>
    </w:lvl>
    <w:lvl w:ilvl="8" w:tplc="C08EC384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03"/>
    <w:rsid w:val="0001459B"/>
    <w:rsid w:val="0016606E"/>
    <w:rsid w:val="002B45D2"/>
    <w:rsid w:val="0031213D"/>
    <w:rsid w:val="00405D73"/>
    <w:rsid w:val="00481AED"/>
    <w:rsid w:val="00694658"/>
    <w:rsid w:val="006A4974"/>
    <w:rsid w:val="006E2CD1"/>
    <w:rsid w:val="007969D8"/>
    <w:rsid w:val="007B42D7"/>
    <w:rsid w:val="0080164A"/>
    <w:rsid w:val="00821940"/>
    <w:rsid w:val="008B69DD"/>
    <w:rsid w:val="00A64D2B"/>
    <w:rsid w:val="00AD5EE3"/>
    <w:rsid w:val="00C1326A"/>
    <w:rsid w:val="00C34AD7"/>
    <w:rsid w:val="00CA3556"/>
    <w:rsid w:val="00D547A3"/>
    <w:rsid w:val="00D91427"/>
    <w:rsid w:val="00D97E8D"/>
    <w:rsid w:val="00DB1990"/>
    <w:rsid w:val="00DC5403"/>
    <w:rsid w:val="00E40B70"/>
    <w:rsid w:val="00E80D19"/>
    <w:rsid w:val="00EA3AF3"/>
    <w:rsid w:val="00EA3CCE"/>
    <w:rsid w:val="00ED14B4"/>
    <w:rsid w:val="00F8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270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9270B"/>
  </w:style>
  <w:style w:type="paragraph" w:customStyle="1" w:styleId="TableParagraph">
    <w:name w:val="Table Paragraph"/>
    <w:basedOn w:val="Normal"/>
    <w:uiPriority w:val="1"/>
    <w:qFormat/>
    <w:rsid w:val="0009270B"/>
  </w:style>
  <w:style w:type="paragraph" w:styleId="Header">
    <w:name w:val="header"/>
    <w:basedOn w:val="Normal"/>
    <w:link w:val="HeaderChar"/>
    <w:uiPriority w:val="99"/>
    <w:unhideWhenUsed/>
    <w:rsid w:val="00092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70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2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70B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0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4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48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48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8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A3C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270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9270B"/>
  </w:style>
  <w:style w:type="paragraph" w:customStyle="1" w:styleId="TableParagraph">
    <w:name w:val="Table Paragraph"/>
    <w:basedOn w:val="Normal"/>
    <w:uiPriority w:val="1"/>
    <w:qFormat/>
    <w:rsid w:val="0009270B"/>
  </w:style>
  <w:style w:type="paragraph" w:styleId="Header">
    <w:name w:val="header"/>
    <w:basedOn w:val="Normal"/>
    <w:link w:val="HeaderChar"/>
    <w:uiPriority w:val="99"/>
    <w:unhideWhenUsed/>
    <w:rsid w:val="00092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70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2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70B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0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4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48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48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8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A3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ranet.ec.gc.ca/hr-rh/default.asp?lang=Fr&amp;n=B85964B3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831F-68D8-4D1C-8F1A-66AB7D2D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Baronette, Monique</dc:creator>
  <cp:lastModifiedBy>LaRue,Justine [NCR]</cp:lastModifiedBy>
  <cp:revision>3</cp:revision>
  <cp:lastPrinted>2017-10-05T13:20:00Z</cp:lastPrinted>
  <dcterms:created xsi:type="dcterms:W3CDTF">2018-09-13T13:21:00Z</dcterms:created>
  <dcterms:modified xsi:type="dcterms:W3CDTF">2018-09-13T13:21:00Z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2409173a-23a6-4c8b-94ba-b43afe2098c1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</Properties>
</file>