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1E" w:rsidRPr="00B4629C" w:rsidRDefault="00524C1E" w:rsidP="00524C1E">
      <w:pPr>
        <w:jc w:val="center"/>
        <w:rPr>
          <w:b/>
          <w:sz w:val="20"/>
          <w:szCs w:val="20"/>
          <w:u w:val="single"/>
          <w:lang w:val="fr-CA"/>
        </w:rPr>
      </w:pPr>
      <w:r w:rsidRPr="00B4629C">
        <w:rPr>
          <w:b/>
          <w:sz w:val="20"/>
          <w:szCs w:val="20"/>
          <w:u w:val="single"/>
          <w:lang w:val="fr-CA"/>
        </w:rPr>
        <w:t xml:space="preserve">HRLMCC – </w:t>
      </w:r>
      <w:r w:rsidR="00A41AE4" w:rsidRPr="00B4629C">
        <w:rPr>
          <w:b/>
          <w:sz w:val="20"/>
          <w:szCs w:val="20"/>
          <w:u w:val="single"/>
          <w:lang w:val="fr-CA"/>
        </w:rPr>
        <w:t>18 septembre</w:t>
      </w:r>
      <w:r w:rsidRPr="00B4629C">
        <w:rPr>
          <w:b/>
          <w:sz w:val="20"/>
          <w:szCs w:val="20"/>
          <w:u w:val="single"/>
          <w:lang w:val="fr-CA"/>
        </w:rPr>
        <w:t xml:space="preserve"> 2018</w:t>
      </w:r>
    </w:p>
    <w:p w:rsidR="00524C1E" w:rsidRDefault="00A41AE4" w:rsidP="00524C1E">
      <w:pPr>
        <w:jc w:val="center"/>
        <w:rPr>
          <w:b/>
          <w:sz w:val="20"/>
          <w:szCs w:val="20"/>
          <w:lang w:val="fr-CA"/>
        </w:rPr>
      </w:pPr>
      <w:r w:rsidRPr="00B4629C">
        <w:rPr>
          <w:b/>
          <w:sz w:val="20"/>
          <w:szCs w:val="20"/>
          <w:lang w:val="fr-CA"/>
        </w:rPr>
        <w:t>Points de l'ordre du jour de SICD</w:t>
      </w:r>
    </w:p>
    <w:p w:rsidR="00B4629C" w:rsidRPr="00B4629C" w:rsidRDefault="00B4629C" w:rsidP="00524C1E">
      <w:pPr>
        <w:jc w:val="center"/>
        <w:rPr>
          <w:b/>
          <w:sz w:val="20"/>
          <w:szCs w:val="20"/>
          <w:lang w:val="fr-CA"/>
        </w:rPr>
      </w:pPr>
    </w:p>
    <w:p w:rsidR="00132D8E" w:rsidRPr="00132D8E" w:rsidRDefault="00132D8E" w:rsidP="00132D8E">
      <w:pPr>
        <w:rPr>
          <w:b/>
          <w:sz w:val="20"/>
          <w:szCs w:val="20"/>
          <w:lang w:val="fr-CA"/>
        </w:rPr>
      </w:pPr>
      <w:r w:rsidRPr="00132D8E">
        <w:rPr>
          <w:b/>
          <w:sz w:val="20"/>
          <w:szCs w:val="20"/>
          <w:lang w:val="fr-CA"/>
        </w:rPr>
        <w:t>5(a)</w:t>
      </w:r>
      <w:r w:rsidRPr="00132D8E">
        <w:rPr>
          <w:b/>
          <w:sz w:val="20"/>
          <w:szCs w:val="20"/>
          <w:lang w:val="fr-CA"/>
        </w:rPr>
        <w:tab/>
      </w:r>
      <w:r w:rsidRPr="00132D8E">
        <w:rPr>
          <w:b/>
          <w:sz w:val="20"/>
          <w:szCs w:val="20"/>
          <w:lang w:val="fr-CA"/>
        </w:rPr>
        <w:t xml:space="preserve"> Conversion de la classification</w:t>
      </w:r>
    </w:p>
    <w:p w:rsidR="00132D8E" w:rsidRPr="00B4629C" w:rsidRDefault="00132D8E" w:rsidP="00132D8E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En 2017, le SCT a approuvé une nouvelle norme d'évaluation pour le groupe Technologie de l'information (TI) qui remplacera l'actuel groupe Systèmes d'ordinateurs (CS). Un message à tous les employés sur la conversion CS a été affiché sur </w:t>
      </w:r>
      <w:proofErr w:type="spellStart"/>
      <w:r w:rsidRPr="00B4629C">
        <w:rPr>
          <w:sz w:val="20"/>
          <w:szCs w:val="20"/>
          <w:lang w:val="fr-CA"/>
        </w:rPr>
        <w:t>Nouvelles@ECCC</w:t>
      </w:r>
      <w:proofErr w:type="spellEnd"/>
      <w:r w:rsidRPr="00B4629C">
        <w:rPr>
          <w:sz w:val="20"/>
          <w:szCs w:val="20"/>
          <w:lang w:val="fr-CA"/>
        </w:rPr>
        <w:t xml:space="preserve"> en juin dernier.</w:t>
      </w:r>
    </w:p>
    <w:p w:rsidR="00132D8E" w:rsidRPr="00B4629C" w:rsidRDefault="00132D8E" w:rsidP="00132D8E">
      <w:pPr>
        <w:pStyle w:val="ListParagraph"/>
        <w:ind w:hanging="360"/>
        <w:rPr>
          <w:sz w:val="20"/>
          <w:szCs w:val="20"/>
          <w:lang w:val="fr-CA"/>
        </w:rPr>
      </w:pPr>
      <w:r w:rsidRPr="00B4629C">
        <w:rPr>
          <w:rFonts w:ascii="Symbol" w:hAnsi="Symbol"/>
          <w:sz w:val="20"/>
          <w:szCs w:val="20"/>
          <w:lang w:val="en-CA"/>
        </w:rPr>
        <w:t></w:t>
      </w:r>
      <w:r>
        <w:rPr>
          <w:rFonts w:ascii="Times New Roman" w:hAnsi="Times New Roman"/>
          <w:sz w:val="20"/>
          <w:szCs w:val="20"/>
          <w:lang w:val="fr-CA"/>
        </w:rPr>
        <w:t xml:space="preserve">      </w:t>
      </w:r>
      <w:r w:rsidRPr="00B4629C">
        <w:rPr>
          <w:sz w:val="20"/>
          <w:szCs w:val="20"/>
          <w:lang w:val="fr-CA"/>
        </w:rPr>
        <w:t xml:space="preserve">Les nouvelles normes d'évaluation pour les Services des programmes </w:t>
      </w:r>
      <w:proofErr w:type="gramStart"/>
      <w:r w:rsidRPr="00B4629C">
        <w:rPr>
          <w:sz w:val="20"/>
          <w:szCs w:val="20"/>
          <w:lang w:val="fr-CA"/>
        </w:rPr>
        <w:t>et</w:t>
      </w:r>
      <w:proofErr w:type="gramEnd"/>
      <w:r w:rsidRPr="00B4629C">
        <w:rPr>
          <w:sz w:val="20"/>
          <w:szCs w:val="20"/>
          <w:lang w:val="fr-CA"/>
        </w:rPr>
        <w:t xml:space="preserve"> de l'administration (PA) n'ont pas encore été approuvées.</w:t>
      </w:r>
    </w:p>
    <w:p w:rsidR="00132D8E" w:rsidRPr="00B4629C" w:rsidRDefault="00132D8E" w:rsidP="00132D8E">
      <w:pPr>
        <w:pStyle w:val="ListParagraph"/>
        <w:ind w:hanging="360"/>
        <w:jc w:val="both"/>
        <w:rPr>
          <w:sz w:val="20"/>
          <w:szCs w:val="20"/>
          <w:lang w:val="fr-CA"/>
        </w:rPr>
      </w:pPr>
      <w:r w:rsidRPr="00B4629C">
        <w:rPr>
          <w:rFonts w:ascii="Symbol" w:hAnsi="Symbol"/>
          <w:sz w:val="20"/>
          <w:szCs w:val="20"/>
          <w:lang w:val="en-CA"/>
        </w:rPr>
        <w:t></w:t>
      </w:r>
      <w:r>
        <w:rPr>
          <w:rFonts w:ascii="Times New Roman" w:hAnsi="Times New Roman"/>
          <w:sz w:val="20"/>
          <w:szCs w:val="20"/>
          <w:lang w:val="fr-CA"/>
        </w:rPr>
        <w:t>      </w:t>
      </w:r>
      <w:r w:rsidRPr="00B4629C">
        <w:rPr>
          <w:sz w:val="20"/>
          <w:szCs w:val="20"/>
          <w:lang w:val="fr-CA"/>
        </w:rPr>
        <w:t>Au total, environ 2 500 postes à ECCC pourraient être convertis (515 postes CS, 1984 postes PA).</w:t>
      </w:r>
    </w:p>
    <w:p w:rsidR="00132D8E" w:rsidRPr="00B4629C" w:rsidRDefault="00132D8E" w:rsidP="00132D8E">
      <w:pPr>
        <w:pStyle w:val="ListParagraph"/>
        <w:ind w:hanging="360"/>
        <w:rPr>
          <w:sz w:val="20"/>
          <w:szCs w:val="20"/>
          <w:lang w:val="fr-CA"/>
        </w:rPr>
      </w:pPr>
      <w:r w:rsidRPr="00B4629C">
        <w:rPr>
          <w:rFonts w:ascii="Symbol" w:hAnsi="Symbol"/>
          <w:sz w:val="20"/>
          <w:szCs w:val="20"/>
          <w:lang w:val="en-CA"/>
        </w:rPr>
        <w:t></w:t>
      </w:r>
      <w:r>
        <w:rPr>
          <w:rFonts w:ascii="Times New Roman" w:hAnsi="Times New Roman"/>
          <w:sz w:val="20"/>
          <w:szCs w:val="20"/>
          <w:lang w:val="fr-CA"/>
        </w:rPr>
        <w:t>      </w:t>
      </w:r>
      <w:r w:rsidRPr="00B4629C">
        <w:rPr>
          <w:sz w:val="20"/>
          <w:szCs w:val="20"/>
          <w:lang w:val="fr-CA"/>
        </w:rPr>
        <w:t xml:space="preserve">ECCC a déjà entamé les activités visant à assurer le succès de la conversion des </w:t>
      </w:r>
      <w:proofErr w:type="gramStart"/>
      <w:r w:rsidRPr="00B4629C">
        <w:rPr>
          <w:sz w:val="20"/>
          <w:szCs w:val="20"/>
          <w:lang w:val="fr-CA"/>
        </w:rPr>
        <w:t>ministères :</w:t>
      </w:r>
      <w:proofErr w:type="gramEnd"/>
    </w:p>
    <w:p w:rsidR="00132D8E" w:rsidRPr="00B4629C" w:rsidRDefault="00132D8E" w:rsidP="00132D8E">
      <w:pPr>
        <w:pStyle w:val="ListParagraph"/>
        <w:ind w:left="1080" w:hanging="360"/>
        <w:rPr>
          <w:sz w:val="20"/>
          <w:szCs w:val="20"/>
          <w:lang w:val="fr-CA"/>
        </w:rPr>
      </w:pPr>
      <w:proofErr w:type="gramStart"/>
      <w:r w:rsidRPr="00B4629C">
        <w:rPr>
          <w:rFonts w:ascii="Courier New" w:hAnsi="Courier New" w:cs="Courier New"/>
          <w:sz w:val="20"/>
          <w:szCs w:val="20"/>
          <w:lang w:val="fr-CA"/>
        </w:rPr>
        <w:t>o</w:t>
      </w:r>
      <w:proofErr w:type="gramEnd"/>
      <w:r w:rsidRPr="00B4629C">
        <w:rPr>
          <w:rFonts w:ascii="Times New Roman" w:hAnsi="Times New Roman"/>
          <w:sz w:val="20"/>
          <w:szCs w:val="20"/>
          <w:lang w:val="fr-CA"/>
        </w:rPr>
        <w:t xml:space="preserve">   </w:t>
      </w:r>
      <w:r w:rsidRPr="00B4629C">
        <w:rPr>
          <w:sz w:val="20"/>
          <w:szCs w:val="20"/>
          <w:lang w:val="fr-CA"/>
        </w:rPr>
        <w:t>L'analyse des postes CS et PA des ministères a débuté, y compris l'utilisat</w:t>
      </w:r>
      <w:r>
        <w:rPr>
          <w:sz w:val="20"/>
          <w:szCs w:val="20"/>
          <w:lang w:val="fr-CA"/>
        </w:rPr>
        <w:t>ion de DEN</w:t>
      </w:r>
      <w:r w:rsidRPr="00B4629C">
        <w:rPr>
          <w:sz w:val="20"/>
          <w:szCs w:val="20"/>
          <w:lang w:val="fr-CA"/>
        </w:rPr>
        <w:t xml:space="preserve"> ;</w:t>
      </w:r>
    </w:p>
    <w:p w:rsidR="00132D8E" w:rsidRPr="00B4629C" w:rsidRDefault="00132D8E" w:rsidP="00132D8E">
      <w:pPr>
        <w:pStyle w:val="ListParagraph"/>
        <w:ind w:left="1080" w:hanging="360"/>
        <w:rPr>
          <w:sz w:val="20"/>
          <w:szCs w:val="20"/>
          <w:lang w:val="fr-CA"/>
        </w:rPr>
      </w:pPr>
      <w:proofErr w:type="gramStart"/>
      <w:r w:rsidRPr="00B4629C">
        <w:rPr>
          <w:rFonts w:ascii="Courier New" w:hAnsi="Courier New" w:cs="Courier New"/>
          <w:sz w:val="20"/>
          <w:szCs w:val="20"/>
          <w:lang w:val="fr-CA"/>
        </w:rPr>
        <w:t>o</w:t>
      </w:r>
      <w:proofErr w:type="gramEnd"/>
      <w:r w:rsidRPr="00B4629C">
        <w:rPr>
          <w:rFonts w:ascii="Times New Roman" w:hAnsi="Times New Roman"/>
          <w:sz w:val="20"/>
          <w:szCs w:val="20"/>
          <w:lang w:val="fr-CA"/>
        </w:rPr>
        <w:t xml:space="preserve">   </w:t>
      </w:r>
      <w:r w:rsidRPr="00B4629C">
        <w:rPr>
          <w:sz w:val="20"/>
          <w:szCs w:val="20"/>
          <w:lang w:val="fr-CA"/>
        </w:rPr>
        <w:t xml:space="preserve">Un comité directeur pour la conversion CS a été mis sur pied, </w:t>
      </w:r>
      <w:r>
        <w:rPr>
          <w:sz w:val="20"/>
          <w:szCs w:val="20"/>
          <w:lang w:val="fr-CA"/>
        </w:rPr>
        <w:t>rassemblant</w:t>
      </w:r>
      <w:r w:rsidRPr="00B4629C">
        <w:rPr>
          <w:sz w:val="20"/>
          <w:szCs w:val="20"/>
          <w:lang w:val="fr-CA"/>
        </w:rPr>
        <w:t xml:space="preserve"> des repré</w:t>
      </w:r>
      <w:r>
        <w:rPr>
          <w:sz w:val="20"/>
          <w:szCs w:val="20"/>
          <w:lang w:val="fr-CA"/>
        </w:rPr>
        <w:t xml:space="preserve">sentants des directions </w:t>
      </w:r>
      <w:r w:rsidRPr="00B4629C">
        <w:rPr>
          <w:sz w:val="20"/>
          <w:szCs w:val="20"/>
          <w:lang w:val="fr-CA"/>
        </w:rPr>
        <w:t xml:space="preserve">générales des SMF, du SMC, de la S et T et des RH ; </w:t>
      </w:r>
    </w:p>
    <w:p w:rsidR="00132D8E" w:rsidRPr="00B4629C" w:rsidRDefault="00132D8E" w:rsidP="00132D8E">
      <w:pPr>
        <w:pStyle w:val="ListParagraph"/>
        <w:ind w:left="1080" w:hanging="360"/>
        <w:jc w:val="both"/>
        <w:rPr>
          <w:sz w:val="20"/>
          <w:szCs w:val="20"/>
          <w:lang w:val="fr-CA"/>
        </w:rPr>
      </w:pPr>
      <w:proofErr w:type="gramStart"/>
      <w:r w:rsidRPr="00B4629C">
        <w:rPr>
          <w:rFonts w:ascii="Courier New" w:hAnsi="Courier New" w:cs="Courier New"/>
          <w:sz w:val="20"/>
          <w:szCs w:val="20"/>
          <w:lang w:val="fr-CA"/>
        </w:rPr>
        <w:t>o</w:t>
      </w:r>
      <w:proofErr w:type="gramEnd"/>
      <w:r w:rsidRPr="00B4629C">
        <w:rPr>
          <w:rFonts w:ascii="Times New Roman" w:hAnsi="Times New Roman"/>
          <w:sz w:val="20"/>
          <w:szCs w:val="20"/>
          <w:lang w:val="fr-CA"/>
        </w:rPr>
        <w:t xml:space="preserve">   </w:t>
      </w:r>
      <w:r w:rsidRPr="00B4629C">
        <w:rPr>
          <w:sz w:val="20"/>
          <w:szCs w:val="20"/>
          <w:lang w:val="fr-CA"/>
        </w:rPr>
        <w:t xml:space="preserve">La DGRH a commencé à élaborer de nouvelles </w:t>
      </w:r>
      <w:r>
        <w:rPr>
          <w:sz w:val="20"/>
          <w:szCs w:val="20"/>
          <w:lang w:val="fr-CA"/>
        </w:rPr>
        <w:t xml:space="preserve">DEN </w:t>
      </w:r>
      <w:r w:rsidRPr="00B4629C">
        <w:rPr>
          <w:sz w:val="20"/>
          <w:szCs w:val="20"/>
          <w:lang w:val="fr-CA"/>
        </w:rPr>
        <w:t xml:space="preserve">afin d'accroître le répertoire actuel. Les nouvelles </w:t>
      </w:r>
      <w:r>
        <w:rPr>
          <w:sz w:val="20"/>
          <w:szCs w:val="20"/>
          <w:lang w:val="fr-CA"/>
        </w:rPr>
        <w:t>DEN</w:t>
      </w:r>
      <w:r w:rsidRPr="00B4629C">
        <w:rPr>
          <w:sz w:val="20"/>
          <w:szCs w:val="20"/>
          <w:lang w:val="fr-CA"/>
        </w:rPr>
        <w:t xml:space="preserve"> seront communiquées aux syndicats avant l</w:t>
      </w:r>
      <w:r>
        <w:rPr>
          <w:sz w:val="20"/>
          <w:szCs w:val="20"/>
          <w:lang w:val="fr-CA"/>
        </w:rPr>
        <w:t>a rencontre du</w:t>
      </w:r>
      <w:r w:rsidRPr="00B4629C">
        <w:rPr>
          <w:sz w:val="20"/>
          <w:szCs w:val="20"/>
          <w:lang w:val="fr-CA"/>
        </w:rPr>
        <w:t xml:space="preserve"> comité d'évaluation de la classification ;</w:t>
      </w:r>
    </w:p>
    <w:p w:rsidR="00132D8E" w:rsidRPr="00B4629C" w:rsidRDefault="00132D8E" w:rsidP="00132D8E">
      <w:pPr>
        <w:pStyle w:val="ListParagraph"/>
        <w:ind w:left="1080" w:hanging="360"/>
        <w:jc w:val="both"/>
        <w:rPr>
          <w:sz w:val="20"/>
          <w:szCs w:val="20"/>
          <w:lang w:val="fr-CA"/>
        </w:rPr>
      </w:pPr>
      <w:proofErr w:type="gramStart"/>
      <w:r w:rsidRPr="00B4629C">
        <w:rPr>
          <w:rFonts w:ascii="Courier New" w:hAnsi="Courier New" w:cs="Courier New"/>
          <w:sz w:val="20"/>
          <w:szCs w:val="20"/>
          <w:lang w:val="fr-CA"/>
        </w:rPr>
        <w:t>o</w:t>
      </w:r>
      <w:proofErr w:type="gramEnd"/>
      <w:r>
        <w:rPr>
          <w:rFonts w:ascii="Times New Roman" w:hAnsi="Times New Roman"/>
          <w:sz w:val="20"/>
          <w:szCs w:val="20"/>
          <w:lang w:val="fr-CA"/>
        </w:rPr>
        <w:t xml:space="preserve">   </w:t>
      </w:r>
      <w:r w:rsidRPr="00B4629C">
        <w:rPr>
          <w:sz w:val="20"/>
          <w:szCs w:val="20"/>
          <w:lang w:val="fr-CA"/>
        </w:rPr>
        <w:t>La DGRH veillera à ce qu'il y ait des communications appropriées, y compris avec les agents négociateurs, tout au long des diverses phases de la conversion afin de faciliter la compréhension.</w:t>
      </w:r>
    </w:p>
    <w:p w:rsidR="00132D8E" w:rsidRPr="00B4629C" w:rsidRDefault="00132D8E" w:rsidP="00132D8E">
      <w:pPr>
        <w:pStyle w:val="ListParagraph"/>
        <w:ind w:hanging="360"/>
        <w:rPr>
          <w:sz w:val="20"/>
          <w:szCs w:val="20"/>
          <w:lang w:val="fr-CA"/>
        </w:rPr>
      </w:pPr>
      <w:r w:rsidRPr="00B4629C">
        <w:rPr>
          <w:rFonts w:ascii="Symbol" w:hAnsi="Symbol"/>
          <w:sz w:val="20"/>
          <w:szCs w:val="20"/>
          <w:lang w:val="en-CA"/>
        </w:rPr>
        <w:t></w:t>
      </w:r>
      <w:r w:rsidRPr="00B4629C">
        <w:rPr>
          <w:rFonts w:ascii="Times New Roman" w:hAnsi="Times New Roman"/>
          <w:sz w:val="20"/>
          <w:szCs w:val="20"/>
          <w:lang w:val="fr-CA"/>
        </w:rPr>
        <w:t>      </w:t>
      </w:r>
      <w:r>
        <w:rPr>
          <w:rFonts w:ascii="Times New Roman" w:hAnsi="Times New Roman"/>
          <w:sz w:val="20"/>
          <w:szCs w:val="20"/>
          <w:lang w:val="fr-CA"/>
        </w:rPr>
        <w:t xml:space="preserve"> </w:t>
      </w:r>
      <w:r w:rsidRPr="00B4629C">
        <w:rPr>
          <w:sz w:val="20"/>
          <w:szCs w:val="20"/>
          <w:lang w:val="fr-CA"/>
        </w:rPr>
        <w:t>Ce forum sera utilisé pour les tenir au courant des activités de conversion.</w:t>
      </w:r>
    </w:p>
    <w:p w:rsidR="00132D8E" w:rsidRPr="00132D8E" w:rsidRDefault="00132D8E" w:rsidP="00132D8E">
      <w:pPr>
        <w:pStyle w:val="ListParagraph"/>
        <w:ind w:left="432"/>
        <w:rPr>
          <w:sz w:val="20"/>
          <w:szCs w:val="20"/>
          <w:lang w:val="fr-CA"/>
        </w:rPr>
      </w:pPr>
    </w:p>
    <w:p w:rsidR="00132D8E" w:rsidRPr="00132D8E" w:rsidRDefault="00132D8E" w:rsidP="00132D8E">
      <w:pPr>
        <w:pStyle w:val="ListParagraph"/>
        <w:ind w:left="432"/>
        <w:rPr>
          <w:sz w:val="20"/>
          <w:szCs w:val="20"/>
          <w:lang w:val="fr-CA"/>
        </w:rPr>
      </w:pPr>
    </w:p>
    <w:p w:rsidR="00524C1E" w:rsidRPr="00132D8E" w:rsidRDefault="00132D8E" w:rsidP="00132D8E">
      <w:pPr>
        <w:ind w:left="720" w:hanging="720"/>
        <w:rPr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5(b)</w:t>
      </w:r>
      <w:r>
        <w:rPr>
          <w:b/>
          <w:sz w:val="20"/>
          <w:szCs w:val="20"/>
          <w:lang w:val="fr-CA"/>
        </w:rPr>
        <w:tab/>
      </w:r>
      <w:r w:rsidR="00A41AE4" w:rsidRPr="00132D8E">
        <w:rPr>
          <w:b/>
          <w:sz w:val="20"/>
          <w:szCs w:val="20"/>
          <w:lang w:val="fr-CA"/>
        </w:rPr>
        <w:t>Phase</w:t>
      </w:r>
      <w:r w:rsidR="00F73AD3" w:rsidRPr="00132D8E">
        <w:rPr>
          <w:b/>
          <w:sz w:val="20"/>
          <w:szCs w:val="20"/>
          <w:lang w:val="fr-CA"/>
        </w:rPr>
        <w:t>s</w:t>
      </w:r>
      <w:r w:rsidR="00A41AE4" w:rsidRPr="00132D8E">
        <w:rPr>
          <w:b/>
          <w:sz w:val="20"/>
          <w:szCs w:val="20"/>
          <w:lang w:val="fr-CA"/>
        </w:rPr>
        <w:t xml:space="preserve"> 1 et 2 de la classification accélérée </w:t>
      </w:r>
      <w:r w:rsidR="00524C1E" w:rsidRPr="00132D8E">
        <w:rPr>
          <w:b/>
          <w:sz w:val="20"/>
          <w:szCs w:val="20"/>
          <w:lang w:val="fr-CA"/>
        </w:rPr>
        <w:t xml:space="preserve">- </w:t>
      </w:r>
      <w:r w:rsidR="00A41AE4" w:rsidRPr="00132D8E">
        <w:rPr>
          <w:sz w:val="20"/>
          <w:szCs w:val="20"/>
          <w:lang w:val="fr-CA"/>
        </w:rPr>
        <w:t xml:space="preserve">Nouveaux services de classification accélérée annoncés sur </w:t>
      </w:r>
      <w:proofErr w:type="spellStart"/>
      <w:r w:rsidR="00F73AD3" w:rsidRPr="00132D8E">
        <w:rPr>
          <w:sz w:val="20"/>
          <w:szCs w:val="20"/>
          <w:lang w:val="fr-CA"/>
        </w:rPr>
        <w:t>Nouvelles</w:t>
      </w:r>
      <w:r w:rsidR="00524C1E" w:rsidRPr="00132D8E">
        <w:rPr>
          <w:sz w:val="20"/>
          <w:szCs w:val="20"/>
          <w:lang w:val="fr-CA"/>
        </w:rPr>
        <w:t>@ECCC</w:t>
      </w:r>
      <w:proofErr w:type="spellEnd"/>
      <w:r w:rsidR="00524C1E" w:rsidRPr="00132D8E">
        <w:rPr>
          <w:sz w:val="20"/>
          <w:szCs w:val="20"/>
          <w:lang w:val="fr-CA"/>
        </w:rPr>
        <w:t>:</w:t>
      </w:r>
    </w:p>
    <w:p w:rsidR="00524C1E" w:rsidRPr="00B4629C" w:rsidRDefault="00524C1E" w:rsidP="00524C1E">
      <w:pPr>
        <w:pStyle w:val="ListParagraph"/>
        <w:rPr>
          <w:b/>
          <w:sz w:val="20"/>
          <w:szCs w:val="20"/>
          <w:lang w:val="fr-CA"/>
        </w:rPr>
      </w:pPr>
      <w:r w:rsidRPr="00B4629C">
        <w:rPr>
          <w:b/>
          <w:sz w:val="20"/>
          <w:szCs w:val="20"/>
          <w:lang w:val="fr-CA"/>
        </w:rPr>
        <w:t xml:space="preserve">Phase 1 – </w:t>
      </w:r>
      <w:r w:rsidR="00A41AE4" w:rsidRPr="00B4629C">
        <w:rPr>
          <w:b/>
          <w:sz w:val="20"/>
          <w:szCs w:val="20"/>
          <w:lang w:val="fr-CA"/>
        </w:rPr>
        <w:t xml:space="preserve">lancée en mai 2018 </w:t>
      </w:r>
      <w:r w:rsidR="00B00C93" w:rsidRPr="00B4629C">
        <w:rPr>
          <w:b/>
          <w:sz w:val="20"/>
          <w:szCs w:val="20"/>
          <w:lang w:val="fr-CA"/>
        </w:rPr>
        <w:t xml:space="preserve">et </w:t>
      </w:r>
      <w:r w:rsidR="00A41AE4" w:rsidRPr="00B4629C">
        <w:rPr>
          <w:b/>
          <w:sz w:val="20"/>
          <w:szCs w:val="20"/>
          <w:lang w:val="fr-CA"/>
        </w:rPr>
        <w:t>comprend :</w:t>
      </w:r>
    </w:p>
    <w:p w:rsidR="00524C1E" w:rsidRPr="00F73AD3" w:rsidRDefault="00524C1E" w:rsidP="00524C1E">
      <w:pPr>
        <w:pStyle w:val="ListParagraph"/>
        <w:rPr>
          <w:sz w:val="20"/>
          <w:szCs w:val="20"/>
          <w:lang w:val="fr-CA"/>
        </w:rPr>
      </w:pPr>
      <w:r w:rsidRPr="00F73AD3">
        <w:rPr>
          <w:sz w:val="20"/>
          <w:szCs w:val="20"/>
          <w:lang w:val="fr-CA"/>
        </w:rPr>
        <w:t xml:space="preserve">1.      </w:t>
      </w:r>
      <w:r w:rsidR="00A41AE4" w:rsidRPr="00F73AD3">
        <w:rPr>
          <w:sz w:val="20"/>
          <w:szCs w:val="20"/>
          <w:lang w:val="fr-CA"/>
        </w:rPr>
        <w:t>Abolition d’un poste vacant</w:t>
      </w:r>
    </w:p>
    <w:p w:rsidR="00524C1E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F73AD3">
        <w:rPr>
          <w:sz w:val="20"/>
          <w:szCs w:val="20"/>
          <w:lang w:val="fr-CA"/>
        </w:rPr>
        <w:t xml:space="preserve">2.      </w:t>
      </w:r>
      <w:r w:rsidR="00A41AE4" w:rsidRPr="00B4629C">
        <w:rPr>
          <w:sz w:val="20"/>
          <w:szCs w:val="20"/>
          <w:lang w:val="fr-CA"/>
        </w:rPr>
        <w:t>Modification du lieu géographique</w:t>
      </w:r>
      <w:r w:rsidRPr="00B4629C">
        <w:rPr>
          <w:sz w:val="20"/>
          <w:szCs w:val="20"/>
          <w:lang w:val="fr-CA"/>
        </w:rPr>
        <w:t xml:space="preserve"> (</w:t>
      </w:r>
      <w:r w:rsidR="00A41AE4" w:rsidRPr="00B4629C">
        <w:rPr>
          <w:sz w:val="20"/>
          <w:szCs w:val="20"/>
          <w:lang w:val="fr-CA"/>
        </w:rPr>
        <w:t>poste vacant</w:t>
      </w:r>
      <w:r w:rsidRPr="00B4629C">
        <w:rPr>
          <w:sz w:val="20"/>
          <w:szCs w:val="20"/>
          <w:lang w:val="fr-CA"/>
        </w:rPr>
        <w:t>)</w:t>
      </w:r>
    </w:p>
    <w:p w:rsidR="00524C1E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F73AD3">
        <w:rPr>
          <w:sz w:val="20"/>
          <w:szCs w:val="20"/>
          <w:lang w:val="fr-CA"/>
        </w:rPr>
        <w:t xml:space="preserve">3.      </w:t>
      </w:r>
      <w:r w:rsidR="00A41AE4" w:rsidRPr="00B4629C">
        <w:rPr>
          <w:sz w:val="20"/>
          <w:szCs w:val="20"/>
          <w:lang w:val="fr-CA"/>
        </w:rPr>
        <w:t>Modification du titre du poste (poste unique)</w:t>
      </w:r>
    </w:p>
    <w:p w:rsidR="00524C1E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4.      </w:t>
      </w:r>
      <w:r w:rsidR="00A41AE4" w:rsidRPr="00B4629C">
        <w:rPr>
          <w:sz w:val="20"/>
          <w:szCs w:val="20"/>
          <w:lang w:val="fr-CA"/>
        </w:rPr>
        <w:t>Modification au profil de sécurité</w:t>
      </w:r>
    </w:p>
    <w:p w:rsidR="00524C1E" w:rsidRPr="00B4629C" w:rsidRDefault="00524C1E" w:rsidP="00524C1E">
      <w:pPr>
        <w:pStyle w:val="ListParagraph"/>
        <w:rPr>
          <w:sz w:val="20"/>
          <w:szCs w:val="20"/>
          <w:lang w:val="fr-CA"/>
        </w:rPr>
      </w:pPr>
    </w:p>
    <w:p w:rsidR="00524C1E" w:rsidRPr="00B4629C" w:rsidRDefault="00254EF9" w:rsidP="00524C1E">
      <w:pPr>
        <w:pStyle w:val="ListParagraph"/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Selon </w:t>
      </w:r>
      <w:r w:rsidRPr="00F73AD3">
        <w:rPr>
          <w:i/>
          <w:sz w:val="20"/>
          <w:szCs w:val="20"/>
          <w:lang w:val="fr-CA"/>
        </w:rPr>
        <w:t>l'I</w:t>
      </w:r>
      <w:r w:rsidR="00A41AE4" w:rsidRPr="00F73AD3">
        <w:rPr>
          <w:i/>
          <w:sz w:val="20"/>
          <w:szCs w:val="20"/>
          <w:lang w:val="fr-CA"/>
        </w:rPr>
        <w:t xml:space="preserve">nstrument </w:t>
      </w:r>
      <w:r w:rsidRPr="00F73AD3">
        <w:rPr>
          <w:i/>
          <w:sz w:val="20"/>
          <w:szCs w:val="20"/>
          <w:lang w:val="fr-CA"/>
        </w:rPr>
        <w:t xml:space="preserve">ministériel </w:t>
      </w:r>
      <w:r w:rsidR="00A41AE4" w:rsidRPr="00F73AD3">
        <w:rPr>
          <w:i/>
          <w:sz w:val="20"/>
          <w:szCs w:val="20"/>
          <w:lang w:val="fr-CA"/>
        </w:rPr>
        <w:t xml:space="preserve">de délégation </w:t>
      </w:r>
      <w:r w:rsidRPr="00F73AD3">
        <w:rPr>
          <w:i/>
          <w:sz w:val="20"/>
          <w:szCs w:val="20"/>
          <w:lang w:val="fr-CA"/>
        </w:rPr>
        <w:t>en matière de ressources humaines</w:t>
      </w:r>
      <w:r w:rsidR="00A41AE4" w:rsidRPr="00F73AD3">
        <w:rPr>
          <w:i/>
          <w:sz w:val="20"/>
          <w:szCs w:val="20"/>
          <w:lang w:val="fr-CA"/>
        </w:rPr>
        <w:t xml:space="preserve"> ECCC</w:t>
      </w:r>
      <w:r w:rsidRPr="00B4629C">
        <w:rPr>
          <w:sz w:val="20"/>
          <w:szCs w:val="20"/>
          <w:lang w:val="fr-CA"/>
        </w:rPr>
        <w:t>, le pouvoir d'abolir les postes vacants commence au niveau L6 (gestionnaire) et les trois autres actions exigent l'approbation au niveau L5 (directeur).</w:t>
      </w:r>
    </w:p>
    <w:p w:rsidR="00254EF9" w:rsidRPr="00B4629C" w:rsidRDefault="00254EF9" w:rsidP="00524C1E">
      <w:pPr>
        <w:pStyle w:val="ListParagraph"/>
        <w:rPr>
          <w:sz w:val="20"/>
          <w:szCs w:val="20"/>
          <w:lang w:val="fr-CA"/>
        </w:rPr>
      </w:pPr>
    </w:p>
    <w:p w:rsidR="00524C1E" w:rsidRPr="00B4629C" w:rsidRDefault="00524C1E" w:rsidP="00524C1E">
      <w:pPr>
        <w:pStyle w:val="ListParagraph"/>
        <w:rPr>
          <w:b/>
          <w:sz w:val="20"/>
          <w:szCs w:val="20"/>
          <w:lang w:val="fr-CA"/>
        </w:rPr>
      </w:pPr>
      <w:r w:rsidRPr="00B4629C">
        <w:rPr>
          <w:b/>
          <w:sz w:val="20"/>
          <w:szCs w:val="20"/>
          <w:lang w:val="fr-CA"/>
        </w:rPr>
        <w:t xml:space="preserve">Phase 2 – </w:t>
      </w:r>
      <w:r w:rsidR="00B00C93" w:rsidRPr="00B4629C">
        <w:rPr>
          <w:b/>
          <w:sz w:val="20"/>
          <w:szCs w:val="20"/>
          <w:lang w:val="fr-CA"/>
        </w:rPr>
        <w:t xml:space="preserve">lancée en juillet 2018 et comprend : </w:t>
      </w:r>
    </w:p>
    <w:p w:rsidR="00B00C93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F73AD3">
        <w:rPr>
          <w:sz w:val="20"/>
          <w:szCs w:val="20"/>
          <w:lang w:val="fr-CA"/>
        </w:rPr>
        <w:t xml:space="preserve">5.      </w:t>
      </w:r>
      <w:r w:rsidR="00B00C93" w:rsidRPr="00B4629C">
        <w:rPr>
          <w:sz w:val="20"/>
          <w:szCs w:val="20"/>
          <w:lang w:val="fr-CA"/>
        </w:rPr>
        <w:t xml:space="preserve">Créer de nouveaux postes </w:t>
      </w:r>
      <w:r w:rsidRPr="00B4629C">
        <w:rPr>
          <w:sz w:val="20"/>
          <w:szCs w:val="20"/>
          <w:lang w:val="fr-CA"/>
        </w:rPr>
        <w:t>BI-01/02, CR-03/04/05, CS-01, EN-E</w:t>
      </w:r>
      <w:r w:rsidR="00B00C93" w:rsidRPr="00B4629C">
        <w:rPr>
          <w:sz w:val="20"/>
          <w:szCs w:val="20"/>
          <w:lang w:val="fr-CA"/>
        </w:rPr>
        <w:t>NG-02/03, FI-01/02, IS-02/03 et</w:t>
      </w:r>
      <w:r w:rsidRPr="00B4629C">
        <w:rPr>
          <w:sz w:val="20"/>
          <w:szCs w:val="20"/>
          <w:lang w:val="fr-CA"/>
        </w:rPr>
        <w:t xml:space="preserve"> PC-01/02</w:t>
      </w:r>
      <w:r w:rsidR="00F73AD3">
        <w:rPr>
          <w:sz w:val="20"/>
          <w:szCs w:val="20"/>
          <w:lang w:val="fr-CA"/>
        </w:rPr>
        <w:t xml:space="preserve">, </w:t>
      </w:r>
      <w:r w:rsidR="00B00C93" w:rsidRPr="00B4629C">
        <w:rPr>
          <w:sz w:val="20"/>
          <w:szCs w:val="20"/>
          <w:lang w:val="fr-CA"/>
        </w:rPr>
        <w:t>sous le même superviseur en utilisant une description d’emploi normalisée (DEN) ministérielle.</w:t>
      </w:r>
    </w:p>
    <w:p w:rsidR="00524C1E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F73AD3">
        <w:rPr>
          <w:sz w:val="20"/>
          <w:szCs w:val="20"/>
          <w:lang w:val="fr-CA"/>
        </w:rPr>
        <w:t xml:space="preserve">6.      </w:t>
      </w:r>
      <w:r w:rsidR="00B00C93" w:rsidRPr="00B4629C">
        <w:rPr>
          <w:sz w:val="20"/>
          <w:szCs w:val="20"/>
          <w:lang w:val="fr-CA"/>
        </w:rPr>
        <w:t xml:space="preserve">Créer des postes </w:t>
      </w:r>
      <w:r w:rsidRPr="00B4629C">
        <w:rPr>
          <w:sz w:val="20"/>
          <w:szCs w:val="20"/>
          <w:lang w:val="fr-CA"/>
        </w:rPr>
        <w:t xml:space="preserve">SE-RES </w:t>
      </w:r>
      <w:r w:rsidR="00B00C93" w:rsidRPr="00B4629C">
        <w:rPr>
          <w:sz w:val="20"/>
          <w:szCs w:val="20"/>
          <w:lang w:val="fr-CA"/>
        </w:rPr>
        <w:t xml:space="preserve">et des postes au sein d'un programme approuvé de perfectionnement professionnel et d'apprentissage </w:t>
      </w:r>
      <w:r w:rsidR="002E127B" w:rsidRPr="00B4629C">
        <w:rPr>
          <w:sz w:val="20"/>
          <w:szCs w:val="20"/>
          <w:lang w:val="fr-CA"/>
        </w:rPr>
        <w:t>(EC, EG, GT, MT, PE et</w:t>
      </w:r>
      <w:r w:rsidRPr="00B4629C">
        <w:rPr>
          <w:sz w:val="20"/>
          <w:szCs w:val="20"/>
          <w:lang w:val="fr-CA"/>
        </w:rPr>
        <w:t xml:space="preserve"> PM)</w:t>
      </w:r>
    </w:p>
    <w:p w:rsidR="00524C1E" w:rsidRPr="00F73AD3" w:rsidRDefault="00524C1E" w:rsidP="00524C1E">
      <w:pPr>
        <w:pStyle w:val="ListParagraph"/>
        <w:rPr>
          <w:sz w:val="20"/>
          <w:szCs w:val="20"/>
          <w:lang w:val="fr-CA"/>
        </w:rPr>
      </w:pPr>
      <w:r w:rsidRPr="00F73AD3">
        <w:rPr>
          <w:sz w:val="20"/>
          <w:szCs w:val="20"/>
          <w:lang w:val="fr-CA"/>
        </w:rPr>
        <w:t xml:space="preserve">7.      </w:t>
      </w:r>
      <w:r w:rsidR="00D45CBD" w:rsidRPr="00F73AD3">
        <w:rPr>
          <w:sz w:val="20"/>
          <w:szCs w:val="20"/>
          <w:lang w:val="fr-CA"/>
        </w:rPr>
        <w:t>Changement</w:t>
      </w:r>
      <w:r w:rsidR="009C1ABE" w:rsidRPr="00F73AD3">
        <w:rPr>
          <w:sz w:val="20"/>
          <w:szCs w:val="20"/>
          <w:lang w:val="fr-CA"/>
        </w:rPr>
        <w:t>s</w:t>
      </w:r>
      <w:r w:rsidR="00B00C93" w:rsidRPr="00F73AD3">
        <w:rPr>
          <w:sz w:val="20"/>
          <w:szCs w:val="20"/>
          <w:lang w:val="fr-CA"/>
        </w:rPr>
        <w:t xml:space="preserve"> de profil</w:t>
      </w:r>
      <w:r w:rsidR="009C1ABE" w:rsidRPr="00F73AD3">
        <w:rPr>
          <w:sz w:val="20"/>
          <w:szCs w:val="20"/>
          <w:lang w:val="fr-CA"/>
        </w:rPr>
        <w:t>s</w:t>
      </w:r>
      <w:r w:rsidR="00B00C93" w:rsidRPr="00F73AD3">
        <w:rPr>
          <w:sz w:val="20"/>
          <w:szCs w:val="20"/>
          <w:lang w:val="fr-CA"/>
        </w:rPr>
        <w:t xml:space="preserve"> linguistique</w:t>
      </w:r>
      <w:r w:rsidR="009C1ABE" w:rsidRPr="00F73AD3">
        <w:rPr>
          <w:sz w:val="20"/>
          <w:szCs w:val="20"/>
          <w:lang w:val="fr-CA"/>
        </w:rPr>
        <w:t>s</w:t>
      </w:r>
      <w:r w:rsidRPr="00F73AD3">
        <w:rPr>
          <w:sz w:val="20"/>
          <w:szCs w:val="20"/>
          <w:lang w:val="fr-CA"/>
        </w:rPr>
        <w:t xml:space="preserve">  </w:t>
      </w:r>
    </w:p>
    <w:p w:rsidR="00524C1E" w:rsidRPr="00F73AD3" w:rsidRDefault="00524C1E" w:rsidP="00524C1E">
      <w:pPr>
        <w:pStyle w:val="ListParagraph"/>
        <w:rPr>
          <w:sz w:val="20"/>
          <w:szCs w:val="20"/>
          <w:lang w:val="fr-CA"/>
        </w:rPr>
      </w:pPr>
    </w:p>
    <w:p w:rsidR="00524C1E" w:rsidRPr="00B4629C" w:rsidRDefault="002E127B" w:rsidP="00524C1E">
      <w:pPr>
        <w:pStyle w:val="ListParagraph"/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lastRenderedPageBreak/>
        <w:t>Selon l'</w:t>
      </w:r>
      <w:r w:rsidRPr="00F73AD3">
        <w:rPr>
          <w:i/>
          <w:sz w:val="20"/>
          <w:szCs w:val="20"/>
          <w:lang w:val="fr-CA"/>
        </w:rPr>
        <w:t>Instrument ministériel de délégation en matière de ressources humaines ECCC</w:t>
      </w:r>
      <w:r w:rsidR="00524C1E" w:rsidRPr="00B4629C">
        <w:rPr>
          <w:sz w:val="20"/>
          <w:szCs w:val="20"/>
          <w:lang w:val="fr-CA"/>
        </w:rPr>
        <w:t xml:space="preserve">, </w:t>
      </w:r>
      <w:r w:rsidRPr="00B4629C">
        <w:rPr>
          <w:sz w:val="20"/>
          <w:szCs w:val="20"/>
          <w:lang w:val="fr-CA"/>
        </w:rPr>
        <w:t>le pouvoir de demander la création d'un poste est délégué</w:t>
      </w:r>
      <w:r w:rsidR="00F73AD3">
        <w:rPr>
          <w:sz w:val="20"/>
          <w:szCs w:val="20"/>
          <w:lang w:val="fr-CA"/>
        </w:rPr>
        <w:t xml:space="preserve"> au niveau</w:t>
      </w:r>
      <w:r w:rsidRPr="00B4629C">
        <w:rPr>
          <w:sz w:val="20"/>
          <w:szCs w:val="20"/>
          <w:lang w:val="fr-CA"/>
        </w:rPr>
        <w:t xml:space="preserve"> L5 (directeur), mais l'approbation de la création dépend des conseillers en classification accrédités.  </w:t>
      </w:r>
    </w:p>
    <w:p w:rsidR="00524C1E" w:rsidRPr="00B4629C" w:rsidRDefault="00524C1E" w:rsidP="00524C1E">
      <w:pPr>
        <w:pStyle w:val="ListParagraph"/>
        <w:rPr>
          <w:sz w:val="20"/>
          <w:szCs w:val="20"/>
          <w:lang w:val="fr-CA"/>
        </w:rPr>
      </w:pPr>
    </w:p>
    <w:p w:rsidR="00524C1E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•        </w:t>
      </w:r>
      <w:r w:rsidR="002E127B" w:rsidRPr="00B4629C">
        <w:rPr>
          <w:sz w:val="20"/>
          <w:szCs w:val="20"/>
          <w:lang w:val="fr-CA"/>
        </w:rPr>
        <w:t>Notre engagement est de réaliser ces actions dans un délai de 10 jours ouvrables.</w:t>
      </w:r>
    </w:p>
    <w:p w:rsidR="00142AF1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•        </w:t>
      </w:r>
      <w:r w:rsidR="00D82E4A" w:rsidRPr="00B4629C">
        <w:rPr>
          <w:sz w:val="20"/>
          <w:szCs w:val="20"/>
          <w:lang w:val="fr-CA"/>
        </w:rPr>
        <w:t>À partir</w:t>
      </w:r>
      <w:r w:rsidR="00142AF1" w:rsidRPr="00B4629C">
        <w:rPr>
          <w:sz w:val="20"/>
          <w:szCs w:val="20"/>
          <w:lang w:val="fr-CA"/>
        </w:rPr>
        <w:t xml:space="preserve"> du mois de mai 2018,</w:t>
      </w:r>
      <w:r w:rsidRPr="00B4629C">
        <w:rPr>
          <w:sz w:val="20"/>
          <w:szCs w:val="20"/>
          <w:lang w:val="fr-CA"/>
        </w:rPr>
        <w:t xml:space="preserve"> </w:t>
      </w:r>
      <w:r w:rsidR="00142AF1" w:rsidRPr="00B4629C">
        <w:rPr>
          <w:sz w:val="20"/>
          <w:szCs w:val="20"/>
          <w:lang w:val="fr-CA"/>
        </w:rPr>
        <w:t>nous avons réalisé 156 actions dans un délai moyen de 5 jours ouvrables.</w:t>
      </w:r>
    </w:p>
    <w:p w:rsidR="00142AF1" w:rsidRPr="00B4629C" w:rsidRDefault="00524C1E" w:rsidP="00524C1E">
      <w:pPr>
        <w:pStyle w:val="ListParagraph"/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•        </w:t>
      </w:r>
      <w:r w:rsidR="00142AF1" w:rsidRPr="00B4629C">
        <w:rPr>
          <w:sz w:val="20"/>
          <w:szCs w:val="20"/>
          <w:lang w:val="fr-CA"/>
        </w:rPr>
        <w:t xml:space="preserve">Notre site intranet sur la Classification accélérée présente tous les types d'actions qui peuvent être accélérées et les quelques étapes faciles à </w:t>
      </w:r>
      <w:r w:rsidR="00FD4746" w:rsidRPr="00B4629C">
        <w:rPr>
          <w:sz w:val="20"/>
          <w:szCs w:val="20"/>
          <w:lang w:val="fr-CA"/>
        </w:rPr>
        <w:t>compléter</w:t>
      </w:r>
      <w:r w:rsidR="00142AF1" w:rsidRPr="00B4629C">
        <w:rPr>
          <w:sz w:val="20"/>
          <w:szCs w:val="20"/>
          <w:lang w:val="fr-CA"/>
        </w:rPr>
        <w:t xml:space="preserve"> du côté du gestionnaire, ainsi que la liste des documents requis pour chaque type de demande. </w:t>
      </w:r>
    </w:p>
    <w:p w:rsidR="00132D8E" w:rsidRDefault="00524C1E" w:rsidP="00132D8E">
      <w:pPr>
        <w:pStyle w:val="ListParagraph"/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•        </w:t>
      </w:r>
      <w:r w:rsidR="00FD4746" w:rsidRPr="00B4629C">
        <w:rPr>
          <w:sz w:val="20"/>
          <w:szCs w:val="20"/>
          <w:lang w:val="fr-CA"/>
        </w:rPr>
        <w:t>D'autres actions aux services de classification accélérée seront ajoutées sous peu, tels que les changements dans les rapports hiérarchiques sous des conditions particulières.</w:t>
      </w:r>
    </w:p>
    <w:p w:rsidR="00524C1E" w:rsidRPr="00132D8E" w:rsidRDefault="00132D8E" w:rsidP="00132D8E">
      <w:pPr>
        <w:rPr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5(c)</w:t>
      </w:r>
      <w:r>
        <w:rPr>
          <w:b/>
          <w:sz w:val="20"/>
          <w:szCs w:val="20"/>
          <w:lang w:val="fr-CA"/>
        </w:rPr>
        <w:tab/>
      </w:r>
      <w:r w:rsidR="00D82E4A" w:rsidRPr="00132D8E">
        <w:rPr>
          <w:b/>
          <w:sz w:val="20"/>
          <w:szCs w:val="20"/>
          <w:lang w:val="fr-CA"/>
        </w:rPr>
        <w:t>Gestion de</w:t>
      </w:r>
      <w:r w:rsidR="009C1ABE" w:rsidRPr="00132D8E">
        <w:rPr>
          <w:b/>
          <w:sz w:val="20"/>
          <w:szCs w:val="20"/>
          <w:lang w:val="fr-CA"/>
        </w:rPr>
        <w:t>s</w:t>
      </w:r>
      <w:r w:rsidR="00D82E4A" w:rsidRPr="00132D8E">
        <w:rPr>
          <w:b/>
          <w:sz w:val="20"/>
          <w:szCs w:val="20"/>
          <w:lang w:val="fr-CA"/>
        </w:rPr>
        <w:t xml:space="preserve"> bassins</w:t>
      </w:r>
    </w:p>
    <w:p w:rsidR="00524C1E" w:rsidRPr="00B4629C" w:rsidRDefault="00D82E4A" w:rsidP="00D82E4A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En date du 31 juillet 2018, ECCC disposait d’un total de 695 bassins de dotation ouverts à tous les gestionnaires d'embauche.  </w:t>
      </w:r>
    </w:p>
    <w:p w:rsidR="00524C1E" w:rsidRPr="00B4629C" w:rsidRDefault="00D82E4A" w:rsidP="00D82E4A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Les bassins </w:t>
      </w:r>
      <w:proofErr w:type="gramStart"/>
      <w:r w:rsidRPr="00B4629C">
        <w:rPr>
          <w:sz w:val="20"/>
          <w:szCs w:val="20"/>
          <w:lang w:val="fr-CA"/>
        </w:rPr>
        <w:t>de ECCC</w:t>
      </w:r>
      <w:proofErr w:type="gramEnd"/>
      <w:r w:rsidRPr="00B4629C">
        <w:rPr>
          <w:sz w:val="20"/>
          <w:szCs w:val="20"/>
          <w:lang w:val="fr-CA"/>
        </w:rPr>
        <w:t xml:space="preserve"> n'expirent pas, de sorte qu'il n'est pas nécessaire de les prolonger.</w:t>
      </w:r>
    </w:p>
    <w:p w:rsidR="00524C1E" w:rsidRPr="00B4629C" w:rsidRDefault="00D82E4A" w:rsidP="00524C1E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>Un gestionnaire peut utiliser n’importe quel ba</w:t>
      </w:r>
      <w:r w:rsidR="00F73AD3">
        <w:rPr>
          <w:sz w:val="20"/>
          <w:szCs w:val="20"/>
          <w:lang w:val="fr-CA"/>
        </w:rPr>
        <w:t>s</w:t>
      </w:r>
      <w:r w:rsidRPr="00B4629C">
        <w:rPr>
          <w:sz w:val="20"/>
          <w:szCs w:val="20"/>
          <w:lang w:val="fr-CA"/>
        </w:rPr>
        <w:t xml:space="preserve">sin ouvert. </w:t>
      </w:r>
    </w:p>
    <w:p w:rsidR="00524C1E" w:rsidRPr="00B4629C" w:rsidRDefault="009C1ABE" w:rsidP="009C1ABE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>Les gestionnaires d'embauche communiquent directement avec les candidats qualifiés sélectionnés</w:t>
      </w:r>
      <w:r w:rsidR="00F73AD3">
        <w:rPr>
          <w:sz w:val="20"/>
          <w:szCs w:val="20"/>
          <w:lang w:val="fr-CA"/>
        </w:rPr>
        <w:t>.</w:t>
      </w:r>
    </w:p>
    <w:p w:rsidR="00524C1E" w:rsidRPr="00B4629C" w:rsidRDefault="009C1ABE" w:rsidP="009C1ABE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>Les noms de tous les candidats qualifiés restants sont envoyés au conseiller en RH du gestionnaire d'embauche, qui transmet ensuite l'information pertinente à ses clients.</w:t>
      </w:r>
    </w:p>
    <w:p w:rsidR="00524C1E" w:rsidRPr="00B4629C" w:rsidRDefault="009C1ABE" w:rsidP="009C1ABE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Le conseiller en RH fournit des conseils au gestionnaire d'embauche sur les résultats des candidats </w:t>
      </w:r>
      <w:r w:rsidR="00F73AD3">
        <w:rPr>
          <w:sz w:val="20"/>
          <w:szCs w:val="20"/>
          <w:lang w:val="fr-CA"/>
        </w:rPr>
        <w:t>se trouvant dans l</w:t>
      </w:r>
      <w:r w:rsidRPr="00B4629C">
        <w:rPr>
          <w:sz w:val="20"/>
          <w:szCs w:val="20"/>
          <w:lang w:val="fr-CA"/>
        </w:rPr>
        <w:t>es bassins demandés et aide le gestionnaire d'embauche tout au long du processus de nomination.</w:t>
      </w:r>
    </w:p>
    <w:p w:rsidR="00524C1E" w:rsidRPr="00B4629C" w:rsidRDefault="00072837" w:rsidP="00072837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 xml:space="preserve">Tous les gestionnaires d'embauche et les conseillers en RH peuvent communiquer directement avec l'équipe de coordination du bassin et demander à utiliser un bassin qui a été affiché sur ECollab. Tous les bassins sont affichés sur ECollab 60 jours après la date de création du bassin afin qu'ils puissent être partagés </w:t>
      </w:r>
      <w:r w:rsidR="00F73AD3">
        <w:rPr>
          <w:sz w:val="20"/>
          <w:szCs w:val="20"/>
          <w:lang w:val="fr-CA"/>
        </w:rPr>
        <w:t>parmi</w:t>
      </w:r>
      <w:r w:rsidR="00490A30">
        <w:rPr>
          <w:sz w:val="20"/>
          <w:szCs w:val="20"/>
          <w:lang w:val="fr-CA"/>
        </w:rPr>
        <w:t xml:space="preserve"> les gestionnaires d'embauche d’</w:t>
      </w:r>
      <w:r w:rsidRPr="00B4629C">
        <w:rPr>
          <w:sz w:val="20"/>
          <w:szCs w:val="20"/>
          <w:lang w:val="fr-CA"/>
        </w:rPr>
        <w:t xml:space="preserve">ECCC. La procédure de demande de </w:t>
      </w:r>
      <w:r w:rsidR="00A87587" w:rsidRPr="00B4629C">
        <w:rPr>
          <w:sz w:val="20"/>
          <w:szCs w:val="20"/>
          <w:lang w:val="fr-CA"/>
        </w:rPr>
        <w:t>bassin consiste en</w:t>
      </w:r>
      <w:r w:rsidRPr="00B4629C">
        <w:rPr>
          <w:sz w:val="20"/>
          <w:szCs w:val="20"/>
          <w:lang w:val="fr-CA"/>
        </w:rPr>
        <w:t xml:space="preserve"> un formulaire générique que le client ou le conseiller en RH utilise</w:t>
      </w:r>
      <w:r w:rsidR="00A87587" w:rsidRPr="00B4629C">
        <w:rPr>
          <w:sz w:val="20"/>
          <w:szCs w:val="20"/>
          <w:lang w:val="fr-CA"/>
        </w:rPr>
        <w:t>nt</w:t>
      </w:r>
      <w:r w:rsidRPr="00B4629C">
        <w:rPr>
          <w:sz w:val="20"/>
          <w:szCs w:val="20"/>
          <w:lang w:val="fr-CA"/>
        </w:rPr>
        <w:t xml:space="preserve"> et envoie</w:t>
      </w:r>
      <w:r w:rsidR="00A87587" w:rsidRPr="00B4629C">
        <w:rPr>
          <w:sz w:val="20"/>
          <w:szCs w:val="20"/>
          <w:lang w:val="fr-CA"/>
        </w:rPr>
        <w:t>nt</w:t>
      </w:r>
      <w:r w:rsidRPr="00B4629C">
        <w:rPr>
          <w:sz w:val="20"/>
          <w:szCs w:val="20"/>
          <w:lang w:val="fr-CA"/>
        </w:rPr>
        <w:t xml:space="preserve"> directement à la</w:t>
      </w:r>
      <w:r w:rsidR="00A87587" w:rsidRPr="00B4629C">
        <w:rPr>
          <w:sz w:val="20"/>
          <w:szCs w:val="20"/>
          <w:lang w:val="fr-CA"/>
        </w:rPr>
        <w:t xml:space="preserve"> boîte aux lettres générique associée au bassin.</w:t>
      </w:r>
    </w:p>
    <w:p w:rsidR="002346FF" w:rsidRPr="00B4629C" w:rsidRDefault="00132D8E" w:rsidP="002346FF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5(d) </w:t>
      </w:r>
      <w:r>
        <w:rPr>
          <w:b/>
          <w:sz w:val="20"/>
          <w:szCs w:val="20"/>
          <w:lang w:val="fr-CA"/>
        </w:rPr>
        <w:tab/>
      </w:r>
      <w:bookmarkStart w:id="0" w:name="_GoBack"/>
      <w:bookmarkEnd w:id="0"/>
      <w:r w:rsidR="002346FF" w:rsidRPr="00B4629C">
        <w:rPr>
          <w:b/>
          <w:sz w:val="20"/>
          <w:szCs w:val="20"/>
          <w:lang w:val="fr-CA"/>
        </w:rPr>
        <w:t>Employés occasionnels embauchés par exercice financier</w:t>
      </w:r>
    </w:p>
    <w:p w:rsidR="002346FF" w:rsidRDefault="002346FF" w:rsidP="00524C1E">
      <w:pPr>
        <w:rPr>
          <w:sz w:val="20"/>
          <w:szCs w:val="20"/>
          <w:lang w:val="fr-CA"/>
        </w:rPr>
      </w:pPr>
      <w:r w:rsidRPr="00B4629C">
        <w:rPr>
          <w:sz w:val="20"/>
          <w:szCs w:val="20"/>
          <w:lang w:val="fr-CA"/>
        </w:rPr>
        <w:t>Un employé embauché une fois au cours de l'exercice en cours est compté comme tel dans le tableau ci-dessous, alors que si ce même employé est réembauché au cours de l'exercice suivant, il est compté une deuxième fois.</w:t>
      </w:r>
    </w:p>
    <w:p w:rsidR="00B4629C" w:rsidRPr="00B4629C" w:rsidRDefault="00B4629C" w:rsidP="00524C1E">
      <w:pPr>
        <w:rPr>
          <w:sz w:val="20"/>
          <w:szCs w:val="20"/>
          <w:lang w:val="fr-CA"/>
        </w:rPr>
      </w:pPr>
    </w:p>
    <w:tbl>
      <w:tblPr>
        <w:tblW w:w="220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745"/>
      </w:tblGrid>
      <w:tr w:rsidR="00524C1E" w:rsidRPr="00B4629C" w:rsidTr="002346FF">
        <w:trPr>
          <w:trHeight w:val="258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24C1E" w:rsidRPr="00B4629C" w:rsidTr="002346FF">
        <w:trPr>
          <w:trHeight w:val="24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sz w:val="20"/>
                <w:szCs w:val="20"/>
              </w:rPr>
              <w:t>2016-2017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</w:tr>
      <w:tr w:rsidR="00524C1E" w:rsidRPr="00B4629C" w:rsidTr="002346FF">
        <w:trPr>
          <w:trHeight w:val="24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sz w:val="20"/>
                <w:szCs w:val="20"/>
              </w:rPr>
              <w:t>2017-2018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sz w:val="20"/>
                <w:szCs w:val="20"/>
              </w:rPr>
              <w:t>691</w:t>
            </w:r>
          </w:p>
        </w:tc>
      </w:tr>
      <w:tr w:rsidR="00524C1E" w:rsidRPr="00B4629C" w:rsidTr="002346FF">
        <w:trPr>
          <w:trHeight w:val="24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sz w:val="20"/>
                <w:szCs w:val="20"/>
              </w:rPr>
              <w:t>2018-2019*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sz w:val="20"/>
                <w:szCs w:val="20"/>
              </w:rPr>
              <w:t>290</w:t>
            </w:r>
          </w:p>
        </w:tc>
      </w:tr>
      <w:tr w:rsidR="00524C1E" w:rsidRPr="00B4629C" w:rsidTr="002346FF">
        <w:trPr>
          <w:trHeight w:val="18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1581</w:t>
            </w:r>
          </w:p>
        </w:tc>
      </w:tr>
      <w:tr w:rsidR="00524C1E" w:rsidRPr="00B4629C" w:rsidTr="002346FF">
        <w:trPr>
          <w:trHeight w:val="52"/>
        </w:trPr>
        <w:tc>
          <w:tcPr>
            <w:tcW w:w="220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4C1E" w:rsidRPr="00B4629C" w:rsidRDefault="00524C1E" w:rsidP="00F81C5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4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 1 Apr to 14 Aug 2018</w:t>
            </w:r>
          </w:p>
        </w:tc>
      </w:tr>
    </w:tbl>
    <w:p w:rsidR="00524C1E" w:rsidRPr="00B4629C" w:rsidRDefault="00524C1E">
      <w:pPr>
        <w:rPr>
          <w:sz w:val="20"/>
          <w:szCs w:val="20"/>
          <w:lang w:val="fr-CA"/>
        </w:rPr>
      </w:pPr>
    </w:p>
    <w:sectPr w:rsidR="00524C1E" w:rsidRPr="00B46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815"/>
    <w:multiLevelType w:val="hybridMultilevel"/>
    <w:tmpl w:val="0DB6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5FE8"/>
    <w:multiLevelType w:val="hybridMultilevel"/>
    <w:tmpl w:val="0D2C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0EF8"/>
    <w:multiLevelType w:val="hybridMultilevel"/>
    <w:tmpl w:val="812ACE2E"/>
    <w:lvl w:ilvl="0" w:tplc="BFDAC672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1E"/>
    <w:rsid w:val="00072837"/>
    <w:rsid w:val="00132D8E"/>
    <w:rsid w:val="00142AF1"/>
    <w:rsid w:val="002346FF"/>
    <w:rsid w:val="00254EF9"/>
    <w:rsid w:val="00287708"/>
    <w:rsid w:val="002E127B"/>
    <w:rsid w:val="00447582"/>
    <w:rsid w:val="00490A30"/>
    <w:rsid w:val="00524C1E"/>
    <w:rsid w:val="00884FC9"/>
    <w:rsid w:val="0091434B"/>
    <w:rsid w:val="00946157"/>
    <w:rsid w:val="009C1ABE"/>
    <w:rsid w:val="00A41AE4"/>
    <w:rsid w:val="00A87587"/>
    <w:rsid w:val="00B00C93"/>
    <w:rsid w:val="00B4629C"/>
    <w:rsid w:val="00D45CBD"/>
    <w:rsid w:val="00D82E4A"/>
    <w:rsid w:val="00E113C4"/>
    <w:rsid w:val="00E22A16"/>
    <w:rsid w:val="00F73AD3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 Castro,Elizabeth [NCR]</dc:creator>
  <cp:lastModifiedBy>LaRue,Justine [NCR]</cp:lastModifiedBy>
  <cp:revision>2</cp:revision>
  <cp:lastPrinted>2018-08-24T13:06:00Z</cp:lastPrinted>
  <dcterms:created xsi:type="dcterms:W3CDTF">2018-09-13T14:07:00Z</dcterms:created>
  <dcterms:modified xsi:type="dcterms:W3CDTF">2018-09-13T14:07:00Z</dcterms:modified>
</cp:coreProperties>
</file>